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1D6FD6" w14:textId="2BE8C3FA" w:rsidR="00DF4D8A" w:rsidRPr="00042220" w:rsidRDefault="00DF4D8A" w:rsidP="00577575">
      <w:pPr>
        <w:jc w:val="center"/>
        <w:rPr>
          <w:rFonts w:ascii="Times New Roman" w:hAnsi="Times New Roman" w:cs="Times New Roman"/>
          <w:b/>
          <w:bCs/>
          <w:sz w:val="28"/>
          <w:szCs w:val="28"/>
        </w:rPr>
      </w:pPr>
      <w:r w:rsidRPr="00042220">
        <w:rPr>
          <w:rFonts w:ascii="Times New Roman" w:hAnsi="Times New Roman" w:cs="Times New Roman"/>
          <w:b/>
          <w:bCs/>
          <w:sz w:val="28"/>
          <w:szCs w:val="28"/>
        </w:rPr>
        <w:t>TRENDS IN SHARED</w:t>
      </w:r>
      <w:r w:rsidR="00577575" w:rsidRPr="00042220">
        <w:rPr>
          <w:rFonts w:ascii="Times New Roman" w:hAnsi="Times New Roman" w:cs="Times New Roman"/>
          <w:b/>
          <w:bCs/>
          <w:sz w:val="28"/>
          <w:szCs w:val="28"/>
        </w:rPr>
        <w:t xml:space="preserve"> SECURITY</w:t>
      </w:r>
      <w:r w:rsidRPr="00042220">
        <w:rPr>
          <w:rFonts w:ascii="Times New Roman" w:hAnsi="Times New Roman" w:cs="Times New Roman"/>
          <w:b/>
          <w:bCs/>
          <w:sz w:val="28"/>
          <w:szCs w:val="28"/>
        </w:rPr>
        <w:t xml:space="preserve"> DATA</w:t>
      </w:r>
    </w:p>
    <w:p w14:paraId="1A582D20" w14:textId="77777777" w:rsidR="00DF4D8A" w:rsidRPr="000078A3" w:rsidRDefault="00DF4D8A" w:rsidP="000078A3">
      <w:pPr>
        <w:jc w:val="both"/>
        <w:rPr>
          <w:rFonts w:ascii="Times New Roman" w:hAnsi="Times New Roman" w:cs="Times New Roman"/>
          <w:sz w:val="28"/>
          <w:szCs w:val="28"/>
        </w:rPr>
      </w:pPr>
    </w:p>
    <w:p w14:paraId="43C7E9EF" w14:textId="02572B9F" w:rsidR="00DF4D8A" w:rsidRPr="004C0348" w:rsidRDefault="00DF4D8A" w:rsidP="00D47F96">
      <w:pPr>
        <w:ind w:firstLine="720"/>
        <w:jc w:val="both"/>
        <w:rPr>
          <w:rFonts w:ascii="Times New Roman" w:hAnsi="Times New Roman" w:cs="Times New Roman"/>
          <w:sz w:val="28"/>
          <w:szCs w:val="28"/>
        </w:rPr>
      </w:pPr>
      <w:r w:rsidRPr="00042220">
        <w:rPr>
          <w:rFonts w:ascii="Times New Roman" w:hAnsi="Times New Roman" w:cs="Times New Roman"/>
          <w:b/>
          <w:bCs/>
          <w:sz w:val="28"/>
          <w:szCs w:val="28"/>
        </w:rPr>
        <w:t>Abstract</w:t>
      </w:r>
      <w:r w:rsidRPr="000078A3">
        <w:rPr>
          <w:rFonts w:ascii="Times New Roman" w:hAnsi="Times New Roman" w:cs="Times New Roman"/>
          <w:sz w:val="28"/>
          <w:szCs w:val="28"/>
        </w:rPr>
        <w:t xml:space="preserve">: </w:t>
      </w:r>
      <w:r w:rsidR="00D47F96" w:rsidRPr="004C0348">
        <w:rPr>
          <w:rFonts w:ascii="Times New Roman" w:hAnsi="Times New Roman" w:cs="Times New Roman"/>
          <w:sz w:val="28"/>
          <w:szCs w:val="28"/>
        </w:rPr>
        <w:t>The current paper seeks to explore the development of the legal framework related to the European Data Strategy in the field of security and related to the exchange of datasets between law enforcement authorities. The text will delve into and compare the categories of open data and data available in open-source intelligence investigations.</w:t>
      </w:r>
    </w:p>
    <w:p w14:paraId="67665056" w14:textId="48FABE43" w:rsidR="00DF4D8A" w:rsidRPr="000078A3" w:rsidRDefault="00DF4D8A" w:rsidP="00042220">
      <w:pPr>
        <w:spacing w:line="278" w:lineRule="auto"/>
        <w:ind w:firstLine="720"/>
        <w:jc w:val="both"/>
        <w:rPr>
          <w:rFonts w:ascii="Times New Roman" w:hAnsi="Times New Roman" w:cs="Times New Roman"/>
          <w:sz w:val="28"/>
          <w:szCs w:val="28"/>
        </w:rPr>
      </w:pPr>
      <w:r w:rsidRPr="7DDEC7EE">
        <w:rPr>
          <w:rFonts w:ascii="Times New Roman" w:hAnsi="Times New Roman" w:cs="Times New Roman"/>
          <w:b/>
          <w:bCs/>
          <w:sz w:val="28"/>
          <w:szCs w:val="28"/>
        </w:rPr>
        <w:t>Keywords</w:t>
      </w:r>
      <w:r w:rsidRPr="7DDEC7EE">
        <w:rPr>
          <w:rFonts w:ascii="Times New Roman" w:hAnsi="Times New Roman" w:cs="Times New Roman"/>
          <w:sz w:val="28"/>
          <w:szCs w:val="28"/>
        </w:rPr>
        <w:t>: data;</w:t>
      </w:r>
      <w:r w:rsidR="169666B6" w:rsidRPr="7DDEC7EE">
        <w:rPr>
          <w:rFonts w:ascii="Times New Roman" w:hAnsi="Times New Roman" w:cs="Times New Roman"/>
          <w:sz w:val="28"/>
          <w:szCs w:val="28"/>
        </w:rPr>
        <w:t xml:space="preserve"> </w:t>
      </w:r>
      <w:r w:rsidRPr="7DDEC7EE">
        <w:rPr>
          <w:rFonts w:ascii="Times New Roman" w:hAnsi="Times New Roman" w:cs="Times New Roman"/>
          <w:sz w:val="28"/>
          <w:szCs w:val="28"/>
        </w:rPr>
        <w:t>interoperability</w:t>
      </w:r>
      <w:r w:rsidR="6A0F4F6E" w:rsidRPr="7DDEC7EE">
        <w:rPr>
          <w:rFonts w:ascii="Times New Roman" w:hAnsi="Times New Roman" w:cs="Times New Roman"/>
          <w:sz w:val="28"/>
          <w:szCs w:val="28"/>
        </w:rPr>
        <w:t>; open data; security</w:t>
      </w:r>
    </w:p>
    <w:p w14:paraId="5B24DD44" w14:textId="77777777" w:rsidR="00DF4D8A" w:rsidRPr="000078A3" w:rsidRDefault="00DF4D8A" w:rsidP="00042220">
      <w:pPr>
        <w:spacing w:line="278" w:lineRule="auto"/>
        <w:ind w:firstLine="720"/>
        <w:jc w:val="both"/>
        <w:rPr>
          <w:rFonts w:ascii="Times New Roman" w:hAnsi="Times New Roman" w:cs="Times New Roman"/>
          <w:sz w:val="28"/>
          <w:szCs w:val="28"/>
        </w:rPr>
      </w:pPr>
    </w:p>
    <w:p w14:paraId="3049545E" w14:textId="055C3B38" w:rsidR="00DF4D8A" w:rsidRPr="000078A3" w:rsidRDefault="00DF4D8A" w:rsidP="00042220">
      <w:pPr>
        <w:spacing w:line="278" w:lineRule="auto"/>
        <w:ind w:firstLine="720"/>
        <w:jc w:val="both"/>
        <w:rPr>
          <w:rFonts w:ascii="Times New Roman" w:hAnsi="Times New Roman" w:cs="Times New Roman"/>
          <w:sz w:val="28"/>
          <w:szCs w:val="28"/>
        </w:rPr>
      </w:pPr>
      <w:r w:rsidRPr="401B796B">
        <w:rPr>
          <w:rFonts w:ascii="Times New Roman" w:hAnsi="Times New Roman" w:cs="Times New Roman"/>
          <w:sz w:val="28"/>
          <w:szCs w:val="28"/>
        </w:rPr>
        <w:t xml:space="preserve">A Europe of innovation, a Europe for citizens - these are some of the guiding messages </w:t>
      </w:r>
      <w:r w:rsidR="00357673" w:rsidRPr="401B796B">
        <w:rPr>
          <w:rFonts w:ascii="Times New Roman" w:hAnsi="Times New Roman" w:cs="Times New Roman"/>
          <w:sz w:val="28"/>
          <w:szCs w:val="28"/>
        </w:rPr>
        <w:t xml:space="preserve">derived from </w:t>
      </w:r>
      <w:r w:rsidRPr="401B796B">
        <w:rPr>
          <w:rFonts w:ascii="Times New Roman" w:hAnsi="Times New Roman" w:cs="Times New Roman"/>
          <w:sz w:val="28"/>
          <w:szCs w:val="28"/>
        </w:rPr>
        <w:t>the strategic documents adopted in the framework of the last European Commission mandate (2019-2024), and the European Data Strategy</w:t>
      </w:r>
      <w:r w:rsidR="00FD25FF" w:rsidRPr="0057176D">
        <w:rPr>
          <w:rFonts w:ascii="Times New Roman" w:hAnsi="Times New Roman" w:cs="Times New Roman"/>
          <w:sz w:val="28"/>
          <w:szCs w:val="28"/>
          <w:vertAlign w:val="superscript"/>
        </w:rPr>
        <w:t>1</w:t>
      </w:r>
      <w:r w:rsidRPr="401B796B">
        <w:rPr>
          <w:rFonts w:ascii="Times New Roman" w:hAnsi="Times New Roman" w:cs="Times New Roman"/>
          <w:sz w:val="28"/>
          <w:szCs w:val="28"/>
        </w:rPr>
        <w:t xml:space="preserve"> is no exception. In this respect, improving interoperability between different sectors is emerging as one of the key challenges for the European Union by the end of the decade, a</w:t>
      </w:r>
      <w:r w:rsidR="00FD1F0E" w:rsidRPr="401B796B">
        <w:rPr>
          <w:rFonts w:ascii="Times New Roman" w:hAnsi="Times New Roman" w:cs="Times New Roman"/>
          <w:sz w:val="28"/>
          <w:szCs w:val="28"/>
        </w:rPr>
        <w:t>s</w:t>
      </w:r>
      <w:r w:rsidRPr="401B796B">
        <w:rPr>
          <w:rFonts w:ascii="Times New Roman" w:hAnsi="Times New Roman" w:cs="Times New Roman"/>
          <w:sz w:val="28"/>
          <w:szCs w:val="28"/>
        </w:rPr>
        <w:t xml:space="preserve"> this is evident both in the systematic ring-fencing of funds and in the dynamic development of </w:t>
      </w:r>
      <w:proofErr w:type="spellStart"/>
      <w:r w:rsidRPr="401B796B">
        <w:rPr>
          <w:rFonts w:ascii="Times New Roman" w:hAnsi="Times New Roman" w:cs="Times New Roman"/>
          <w:sz w:val="28"/>
          <w:szCs w:val="28"/>
        </w:rPr>
        <w:t>harmonised</w:t>
      </w:r>
      <w:proofErr w:type="spellEnd"/>
      <w:r w:rsidRPr="401B796B">
        <w:rPr>
          <w:rFonts w:ascii="Times New Roman" w:hAnsi="Times New Roman" w:cs="Times New Roman"/>
          <w:sz w:val="28"/>
          <w:szCs w:val="28"/>
        </w:rPr>
        <w:t xml:space="preserve"> legislation in the field, aiming to impose uniform standards to ensure the sharing of data (for example - Regulation (EU) 2024/903</w:t>
      </w:r>
      <w:r w:rsidR="0001170F" w:rsidRPr="0001170F">
        <w:rPr>
          <w:rFonts w:ascii="Times New Roman" w:hAnsi="Times New Roman" w:cs="Times New Roman"/>
          <w:sz w:val="28"/>
          <w:szCs w:val="28"/>
          <w:vertAlign w:val="superscript"/>
        </w:rPr>
        <w:t>2</w:t>
      </w:r>
      <w:r w:rsidRPr="401B796B">
        <w:rPr>
          <w:rFonts w:ascii="Times New Roman" w:hAnsi="Times New Roman" w:cs="Times New Roman"/>
          <w:sz w:val="28"/>
          <w:szCs w:val="28"/>
        </w:rPr>
        <w:t>).</w:t>
      </w:r>
      <w:r w:rsidR="00E20483">
        <w:rPr>
          <w:rFonts w:ascii="Times New Roman" w:hAnsi="Times New Roman" w:cs="Times New Roman"/>
          <w:sz w:val="28"/>
          <w:szCs w:val="28"/>
        </w:rPr>
        <w:t xml:space="preserve"> </w:t>
      </w:r>
    </w:p>
    <w:p w14:paraId="70CAB8CE" w14:textId="3D40CA37" w:rsidR="00BC68F0" w:rsidRPr="000078A3" w:rsidRDefault="00EA53EB" w:rsidP="00042220">
      <w:pPr>
        <w:spacing w:line="278" w:lineRule="auto"/>
        <w:ind w:firstLine="720"/>
        <w:jc w:val="both"/>
        <w:rPr>
          <w:rFonts w:ascii="Times New Roman" w:hAnsi="Times New Roman" w:cs="Times New Roman"/>
          <w:sz w:val="28"/>
          <w:szCs w:val="28"/>
        </w:rPr>
      </w:pPr>
      <w:r w:rsidRPr="401B796B">
        <w:rPr>
          <w:rFonts w:ascii="Times New Roman" w:hAnsi="Times New Roman" w:cs="Times New Roman"/>
          <w:sz w:val="28"/>
          <w:szCs w:val="28"/>
        </w:rPr>
        <w:t xml:space="preserve">Of particular interest is the strengthening of interoperability capacity within the area of freedom, security and justice in the European Union (EU). The creation of the so-called EU </w:t>
      </w:r>
      <w:r w:rsidR="00D70524" w:rsidRPr="401B796B">
        <w:rPr>
          <w:rFonts w:ascii="Times New Roman" w:hAnsi="Times New Roman" w:cs="Times New Roman"/>
          <w:sz w:val="28"/>
          <w:szCs w:val="28"/>
        </w:rPr>
        <w:t xml:space="preserve">Innovation Hub for </w:t>
      </w:r>
      <w:r w:rsidRPr="401B796B">
        <w:rPr>
          <w:rFonts w:ascii="Times New Roman" w:hAnsi="Times New Roman" w:cs="Times New Roman"/>
          <w:sz w:val="28"/>
          <w:szCs w:val="28"/>
        </w:rPr>
        <w:t>Internal Se</w:t>
      </w:r>
      <w:r w:rsidR="00D70524" w:rsidRPr="401B796B">
        <w:rPr>
          <w:rFonts w:ascii="Times New Roman" w:hAnsi="Times New Roman" w:cs="Times New Roman"/>
          <w:sz w:val="28"/>
          <w:szCs w:val="28"/>
        </w:rPr>
        <w:t>curity</w:t>
      </w:r>
      <w:r w:rsidR="0001170F" w:rsidRPr="0001170F">
        <w:rPr>
          <w:rFonts w:ascii="Times New Roman" w:hAnsi="Times New Roman" w:cs="Times New Roman"/>
          <w:sz w:val="28"/>
          <w:szCs w:val="28"/>
          <w:vertAlign w:val="superscript"/>
        </w:rPr>
        <w:t>3</w:t>
      </w:r>
      <w:r w:rsidRPr="401B796B">
        <w:rPr>
          <w:rFonts w:ascii="Times New Roman" w:hAnsi="Times New Roman" w:cs="Times New Roman"/>
          <w:sz w:val="28"/>
          <w:szCs w:val="28"/>
        </w:rPr>
        <w:t>, bringing together the leading EU agencies and institutions with competence in the sector and the Commission's vision of developing Common European Data Spaces</w:t>
      </w:r>
      <w:r w:rsidR="00300E33" w:rsidRPr="00300E33">
        <w:rPr>
          <w:rFonts w:ascii="Times New Roman" w:hAnsi="Times New Roman" w:cs="Times New Roman"/>
          <w:sz w:val="28"/>
          <w:szCs w:val="28"/>
          <w:vertAlign w:val="superscript"/>
        </w:rPr>
        <w:t>4</w:t>
      </w:r>
      <w:r w:rsidRPr="401B796B">
        <w:rPr>
          <w:rFonts w:ascii="Times New Roman" w:hAnsi="Times New Roman" w:cs="Times New Roman"/>
          <w:sz w:val="28"/>
          <w:szCs w:val="28"/>
        </w:rPr>
        <w:t xml:space="preserve"> provide the basis for enhanced cross-border cooperation tailored to the operational needs of law enforcement authorities. A key opportunity, from a legal and ethical perspective, is the alignment of the requirements and rules for the </w:t>
      </w:r>
      <w:r w:rsidR="0397F98F" w:rsidRPr="1534F4ED">
        <w:rPr>
          <w:rFonts w:ascii="Times New Roman" w:hAnsi="Times New Roman" w:cs="Times New Roman"/>
          <w:sz w:val="28"/>
          <w:szCs w:val="28"/>
        </w:rPr>
        <w:t>creation</w:t>
      </w:r>
      <w:r w:rsidRPr="401B796B">
        <w:rPr>
          <w:rFonts w:ascii="Times New Roman" w:hAnsi="Times New Roman" w:cs="Times New Roman"/>
          <w:sz w:val="28"/>
          <w:szCs w:val="28"/>
        </w:rPr>
        <w:t xml:space="preserve"> and dissemination of datasets in the security sector by the law enforcement authorities themselves, the definition of a more limited scope of openness of the data in relation to generally applicable policies, and stricter requirements for the technological systems ensuring the creation and interlinking of datasets in view of the applicable pan-European and national legal framework for the respective hypothesis within the security sector </w:t>
      </w:r>
      <w:r w:rsidR="0E6383F7" w:rsidRPr="401B796B">
        <w:rPr>
          <w:rFonts w:ascii="Times New Roman" w:hAnsi="Times New Roman" w:cs="Times New Roman"/>
          <w:sz w:val="28"/>
          <w:szCs w:val="28"/>
        </w:rPr>
        <w:t>(</w:t>
      </w:r>
      <w:r w:rsidR="0077547A" w:rsidRPr="401B796B">
        <w:rPr>
          <w:rFonts w:ascii="Times New Roman" w:hAnsi="Times New Roman" w:cs="Times New Roman"/>
          <w:sz w:val="28"/>
          <w:szCs w:val="28"/>
        </w:rPr>
        <w:t xml:space="preserve">Scerri, </w:t>
      </w:r>
      <w:proofErr w:type="spellStart"/>
      <w:r w:rsidR="0077547A" w:rsidRPr="401B796B">
        <w:rPr>
          <w:rFonts w:ascii="Times New Roman" w:hAnsi="Times New Roman" w:cs="Times New Roman"/>
          <w:sz w:val="28"/>
          <w:szCs w:val="28"/>
        </w:rPr>
        <w:t>Tuikka</w:t>
      </w:r>
      <w:proofErr w:type="spellEnd"/>
      <w:r w:rsidR="0077547A" w:rsidRPr="401B796B">
        <w:rPr>
          <w:rFonts w:ascii="Times New Roman" w:hAnsi="Times New Roman" w:cs="Times New Roman"/>
          <w:sz w:val="28"/>
          <w:szCs w:val="28"/>
        </w:rPr>
        <w:t>, Vallejo, Curry 2022</w:t>
      </w:r>
      <w:r w:rsidRPr="401B796B">
        <w:rPr>
          <w:rFonts w:ascii="Times New Roman" w:hAnsi="Times New Roman" w:cs="Times New Roman"/>
          <w:sz w:val="28"/>
          <w:szCs w:val="28"/>
        </w:rPr>
        <w:t>, p. 340</w:t>
      </w:r>
      <w:r w:rsidR="1FF874B1" w:rsidRPr="401B796B">
        <w:rPr>
          <w:rFonts w:ascii="Times New Roman" w:hAnsi="Times New Roman" w:cs="Times New Roman"/>
          <w:sz w:val="28"/>
          <w:szCs w:val="28"/>
        </w:rPr>
        <w:t>)</w:t>
      </w:r>
      <w:r w:rsidRPr="401B796B">
        <w:rPr>
          <w:rFonts w:ascii="Times New Roman" w:hAnsi="Times New Roman" w:cs="Times New Roman"/>
          <w:sz w:val="28"/>
          <w:szCs w:val="28"/>
        </w:rPr>
        <w:t>.</w:t>
      </w:r>
      <w:r w:rsidR="0022733B" w:rsidRPr="401B796B">
        <w:rPr>
          <w:rFonts w:ascii="Times New Roman" w:hAnsi="Times New Roman" w:cs="Times New Roman"/>
          <w:sz w:val="28"/>
          <w:szCs w:val="28"/>
        </w:rPr>
        <w:t xml:space="preserve"> T</w:t>
      </w:r>
      <w:r w:rsidR="00BC68F0" w:rsidRPr="401B796B">
        <w:rPr>
          <w:rFonts w:ascii="Times New Roman" w:hAnsi="Times New Roman" w:cs="Times New Roman"/>
          <w:sz w:val="28"/>
          <w:szCs w:val="28"/>
        </w:rPr>
        <w:t xml:space="preserve">he European Parliament Resolution </w:t>
      </w:r>
      <w:r w:rsidR="00BC68F0" w:rsidRPr="401B796B">
        <w:rPr>
          <w:rFonts w:ascii="Times New Roman" w:hAnsi="Times New Roman" w:cs="Times New Roman"/>
          <w:sz w:val="28"/>
          <w:szCs w:val="28"/>
        </w:rPr>
        <w:lastRenderedPageBreak/>
        <w:t>on the fundamental rights implications of big data</w:t>
      </w:r>
      <w:r w:rsidR="000A755E" w:rsidRPr="000A755E">
        <w:rPr>
          <w:rFonts w:ascii="Times New Roman" w:hAnsi="Times New Roman" w:cs="Times New Roman"/>
          <w:sz w:val="28"/>
          <w:szCs w:val="28"/>
          <w:vertAlign w:val="superscript"/>
        </w:rPr>
        <w:t>5</w:t>
      </w:r>
      <w:r w:rsidR="0040265F" w:rsidRPr="401B796B">
        <w:rPr>
          <w:rFonts w:ascii="Times New Roman" w:hAnsi="Times New Roman" w:cs="Times New Roman"/>
          <w:sz w:val="28"/>
          <w:szCs w:val="28"/>
        </w:rPr>
        <w:t xml:space="preserve"> should also be recalled here</w:t>
      </w:r>
      <w:r w:rsidR="00BC68F0" w:rsidRPr="401B796B">
        <w:rPr>
          <w:rFonts w:ascii="Times New Roman" w:hAnsi="Times New Roman" w:cs="Times New Roman"/>
          <w:sz w:val="28"/>
          <w:szCs w:val="28"/>
        </w:rPr>
        <w:t xml:space="preserve"> and the recommendation set out in its </w:t>
      </w:r>
      <w:r w:rsidR="00F1514F" w:rsidRPr="401B796B">
        <w:rPr>
          <w:rFonts w:ascii="Times New Roman" w:hAnsi="Times New Roman" w:cs="Times New Roman"/>
          <w:sz w:val="28"/>
          <w:szCs w:val="28"/>
        </w:rPr>
        <w:t xml:space="preserve">paragraph </w:t>
      </w:r>
      <w:r w:rsidR="00BC68F0" w:rsidRPr="401B796B">
        <w:rPr>
          <w:rFonts w:ascii="Times New Roman" w:hAnsi="Times New Roman" w:cs="Times New Roman"/>
          <w:sz w:val="28"/>
          <w:szCs w:val="28"/>
        </w:rPr>
        <w:t xml:space="preserve">29 that the procurement of data processing models, tools and </w:t>
      </w:r>
      <w:proofErr w:type="spellStart"/>
      <w:r w:rsidR="00BC68F0" w:rsidRPr="401B796B">
        <w:rPr>
          <w:rFonts w:ascii="Times New Roman" w:hAnsi="Times New Roman" w:cs="Times New Roman"/>
          <w:sz w:val="28"/>
          <w:szCs w:val="28"/>
        </w:rPr>
        <w:t>programmes</w:t>
      </w:r>
      <w:proofErr w:type="spellEnd"/>
      <w:r w:rsidR="00BC68F0" w:rsidRPr="401B796B">
        <w:rPr>
          <w:rFonts w:ascii="Times New Roman" w:hAnsi="Times New Roman" w:cs="Times New Roman"/>
          <w:sz w:val="28"/>
          <w:szCs w:val="28"/>
        </w:rPr>
        <w:t xml:space="preserve"> should be formulated and verified in a way that ensures that the processing of personal data is limited to the minimum necessary and that the principles of non-discrimination and privacy are respected. It is extremely challenging not only for businesses, but also for law enforcement authorities to handle data sets in full compliance with the EU legal framework due to the systematic perception of data protection as a fundamental principle </w:t>
      </w:r>
      <w:r w:rsidR="6EA38FFA" w:rsidRPr="401B796B">
        <w:rPr>
          <w:rFonts w:ascii="Times New Roman" w:hAnsi="Times New Roman" w:cs="Times New Roman"/>
          <w:sz w:val="28"/>
          <w:szCs w:val="28"/>
        </w:rPr>
        <w:t>(</w:t>
      </w:r>
      <w:r w:rsidR="008C291C" w:rsidRPr="401B796B">
        <w:rPr>
          <w:rFonts w:ascii="Times New Roman" w:hAnsi="Times New Roman" w:cs="Times New Roman"/>
          <w:sz w:val="28"/>
          <w:szCs w:val="28"/>
        </w:rPr>
        <w:t>Kusak 202</w:t>
      </w:r>
      <w:r w:rsidR="0077547A" w:rsidRPr="401B796B">
        <w:rPr>
          <w:rFonts w:ascii="Times New Roman" w:hAnsi="Times New Roman" w:cs="Times New Roman"/>
          <w:sz w:val="28"/>
          <w:szCs w:val="28"/>
        </w:rPr>
        <w:t>2</w:t>
      </w:r>
      <w:r w:rsidR="00BC68F0" w:rsidRPr="401B796B">
        <w:rPr>
          <w:rFonts w:ascii="Times New Roman" w:hAnsi="Times New Roman" w:cs="Times New Roman"/>
          <w:sz w:val="28"/>
          <w:szCs w:val="28"/>
        </w:rPr>
        <w:t>, p. 214</w:t>
      </w:r>
      <w:r w:rsidR="65EDDA48" w:rsidRPr="401B796B">
        <w:rPr>
          <w:rFonts w:ascii="Times New Roman" w:hAnsi="Times New Roman" w:cs="Times New Roman"/>
          <w:sz w:val="28"/>
          <w:szCs w:val="28"/>
        </w:rPr>
        <w:t>)</w:t>
      </w:r>
      <w:r w:rsidR="00BC68F0" w:rsidRPr="401B796B">
        <w:rPr>
          <w:rFonts w:ascii="Times New Roman" w:hAnsi="Times New Roman" w:cs="Times New Roman"/>
          <w:sz w:val="28"/>
          <w:szCs w:val="28"/>
        </w:rPr>
        <w:t>.</w:t>
      </w:r>
    </w:p>
    <w:p w14:paraId="2C20A62E" w14:textId="1E75753A" w:rsidR="00BC68F0" w:rsidRPr="000078A3" w:rsidRDefault="000223D1" w:rsidP="00042220">
      <w:pPr>
        <w:spacing w:line="278" w:lineRule="auto"/>
        <w:ind w:firstLine="720"/>
        <w:jc w:val="both"/>
        <w:rPr>
          <w:rFonts w:ascii="Times New Roman" w:hAnsi="Times New Roman" w:cs="Times New Roman"/>
          <w:sz w:val="28"/>
          <w:szCs w:val="28"/>
        </w:rPr>
      </w:pPr>
      <w:r w:rsidRPr="188666AD">
        <w:rPr>
          <w:rFonts w:ascii="Times New Roman" w:hAnsi="Times New Roman" w:cs="Times New Roman"/>
          <w:sz w:val="28"/>
          <w:szCs w:val="28"/>
        </w:rPr>
        <w:t xml:space="preserve">While there are a number of risks </w:t>
      </w:r>
      <w:r w:rsidR="00CF3C96" w:rsidRPr="188666AD">
        <w:rPr>
          <w:rFonts w:ascii="Times New Roman" w:hAnsi="Times New Roman" w:cs="Times New Roman"/>
          <w:sz w:val="28"/>
          <w:szCs w:val="28"/>
        </w:rPr>
        <w:t>to using</w:t>
      </w:r>
      <w:r w:rsidRPr="188666AD">
        <w:rPr>
          <w:rFonts w:ascii="Times New Roman" w:hAnsi="Times New Roman" w:cs="Times New Roman"/>
          <w:sz w:val="28"/>
          <w:szCs w:val="28"/>
        </w:rPr>
        <w:t xml:space="preserve"> large data sets for national and alliance security purposes - including the creation of "bias" in automated systems based on statistically available information as a result of pre-existing structural discrimination </w:t>
      </w:r>
      <w:r w:rsidR="23AAB6D3" w:rsidRPr="188666AD">
        <w:rPr>
          <w:rFonts w:ascii="Times New Roman" w:hAnsi="Times New Roman" w:cs="Times New Roman"/>
          <w:sz w:val="28"/>
          <w:szCs w:val="28"/>
        </w:rPr>
        <w:t>(</w:t>
      </w:r>
      <w:r w:rsidR="0077547A" w:rsidRPr="188666AD">
        <w:rPr>
          <w:rFonts w:ascii="Times New Roman" w:hAnsi="Times New Roman" w:cs="Times New Roman"/>
          <w:sz w:val="28"/>
          <w:szCs w:val="28"/>
        </w:rPr>
        <w:t>Crawford, Schultz</w:t>
      </w:r>
      <w:r w:rsidRPr="188666AD">
        <w:rPr>
          <w:rFonts w:ascii="Times New Roman" w:hAnsi="Times New Roman" w:cs="Times New Roman"/>
          <w:sz w:val="28"/>
          <w:szCs w:val="28"/>
        </w:rPr>
        <w:t>, pp. 103-104</w:t>
      </w:r>
      <w:r w:rsidR="58D8A494" w:rsidRPr="188666AD">
        <w:rPr>
          <w:rFonts w:ascii="Times New Roman" w:hAnsi="Times New Roman" w:cs="Times New Roman"/>
          <w:sz w:val="28"/>
          <w:szCs w:val="28"/>
        </w:rPr>
        <w:t>)</w:t>
      </w:r>
      <w:r w:rsidRPr="188666AD">
        <w:rPr>
          <w:rFonts w:ascii="Times New Roman" w:hAnsi="Times New Roman" w:cs="Times New Roman"/>
          <w:sz w:val="28"/>
          <w:szCs w:val="28"/>
        </w:rPr>
        <w:t xml:space="preserve">; the possibility of de-anonymization of data </w:t>
      </w:r>
      <w:r w:rsidR="1543A1F0" w:rsidRPr="188666AD">
        <w:rPr>
          <w:rFonts w:ascii="Times New Roman" w:hAnsi="Times New Roman" w:cs="Times New Roman"/>
          <w:sz w:val="28"/>
          <w:szCs w:val="28"/>
        </w:rPr>
        <w:t>(</w:t>
      </w:r>
      <w:proofErr w:type="spellStart"/>
      <w:r w:rsidR="00644DD1" w:rsidRPr="188666AD">
        <w:rPr>
          <w:rFonts w:ascii="Times New Roman" w:hAnsi="Times New Roman" w:cs="Times New Roman"/>
          <w:sz w:val="28"/>
          <w:szCs w:val="28"/>
        </w:rPr>
        <w:t>Bormida</w:t>
      </w:r>
      <w:proofErr w:type="spellEnd"/>
      <w:r w:rsidR="00644DD1" w:rsidRPr="188666AD">
        <w:rPr>
          <w:rFonts w:ascii="Times New Roman" w:hAnsi="Times New Roman" w:cs="Times New Roman"/>
          <w:sz w:val="28"/>
          <w:szCs w:val="28"/>
        </w:rPr>
        <w:t xml:space="preserve"> 2021</w:t>
      </w:r>
      <w:r w:rsidRPr="188666AD">
        <w:rPr>
          <w:rFonts w:ascii="Times New Roman" w:hAnsi="Times New Roman" w:cs="Times New Roman"/>
          <w:sz w:val="28"/>
          <w:szCs w:val="28"/>
        </w:rPr>
        <w:t xml:space="preserve">, p. 76; </w:t>
      </w:r>
      <w:proofErr w:type="spellStart"/>
      <w:r w:rsidR="00AE298C" w:rsidRPr="188666AD">
        <w:rPr>
          <w:rFonts w:ascii="Times New Roman" w:hAnsi="Times New Roman" w:cs="Times New Roman"/>
          <w:sz w:val="28"/>
          <w:szCs w:val="28"/>
        </w:rPr>
        <w:t>Boté</w:t>
      </w:r>
      <w:proofErr w:type="spellEnd"/>
      <w:r w:rsidRPr="188666AD">
        <w:rPr>
          <w:rFonts w:ascii="Times New Roman" w:hAnsi="Times New Roman" w:cs="Times New Roman"/>
          <w:sz w:val="28"/>
          <w:szCs w:val="28"/>
        </w:rPr>
        <w:t>,</w:t>
      </w:r>
      <w:r w:rsidR="00AE298C" w:rsidRPr="188666AD">
        <w:rPr>
          <w:rFonts w:ascii="Times New Roman" w:hAnsi="Times New Roman" w:cs="Times New Roman"/>
          <w:sz w:val="28"/>
          <w:szCs w:val="28"/>
        </w:rPr>
        <w:t xml:space="preserve"> </w:t>
      </w:r>
      <w:proofErr w:type="spellStart"/>
      <w:r w:rsidR="00AE298C" w:rsidRPr="188666AD">
        <w:rPr>
          <w:rFonts w:ascii="Times New Roman" w:hAnsi="Times New Roman" w:cs="Times New Roman"/>
          <w:sz w:val="28"/>
          <w:szCs w:val="28"/>
        </w:rPr>
        <w:t>Térmens</w:t>
      </w:r>
      <w:proofErr w:type="spellEnd"/>
      <w:r w:rsidR="00FA42C9" w:rsidRPr="188666AD">
        <w:rPr>
          <w:rFonts w:ascii="Times New Roman" w:hAnsi="Times New Roman" w:cs="Times New Roman"/>
          <w:sz w:val="28"/>
          <w:szCs w:val="28"/>
        </w:rPr>
        <w:t xml:space="preserve"> 2019,</w:t>
      </w:r>
      <w:r w:rsidRPr="188666AD">
        <w:rPr>
          <w:rFonts w:ascii="Times New Roman" w:hAnsi="Times New Roman" w:cs="Times New Roman"/>
          <w:sz w:val="28"/>
          <w:szCs w:val="28"/>
        </w:rPr>
        <w:t xml:space="preserve"> p. 331</w:t>
      </w:r>
      <w:r w:rsidR="70783F3E" w:rsidRPr="188666AD">
        <w:rPr>
          <w:rFonts w:ascii="Times New Roman" w:hAnsi="Times New Roman" w:cs="Times New Roman"/>
          <w:sz w:val="28"/>
          <w:szCs w:val="28"/>
        </w:rPr>
        <w:t>)</w:t>
      </w:r>
      <w:r w:rsidRPr="188666AD">
        <w:rPr>
          <w:rFonts w:ascii="Times New Roman" w:hAnsi="Times New Roman" w:cs="Times New Roman"/>
          <w:sz w:val="28"/>
          <w:szCs w:val="28"/>
        </w:rPr>
        <w:t xml:space="preserve">, </w:t>
      </w:r>
      <w:r w:rsidR="00447B83" w:rsidRPr="188666AD">
        <w:rPr>
          <w:rFonts w:ascii="Times New Roman" w:hAnsi="Times New Roman" w:cs="Times New Roman"/>
          <w:sz w:val="28"/>
          <w:szCs w:val="28"/>
          <w:lang w:val="en"/>
        </w:rPr>
        <w:t>or the contradictions arising when granting access to databases</w:t>
      </w:r>
      <w:r w:rsidR="00F8401F" w:rsidRPr="188666AD">
        <w:rPr>
          <w:rFonts w:ascii="Times New Roman" w:hAnsi="Times New Roman" w:cs="Times New Roman"/>
          <w:sz w:val="28"/>
          <w:szCs w:val="28"/>
          <w:lang w:val="en"/>
        </w:rPr>
        <w:t xml:space="preserve"> containing biometric data</w:t>
      </w:r>
      <w:r w:rsidR="00447B83" w:rsidRPr="188666AD">
        <w:rPr>
          <w:rFonts w:ascii="Times New Roman" w:hAnsi="Times New Roman" w:cs="Times New Roman"/>
          <w:sz w:val="28"/>
          <w:szCs w:val="28"/>
        </w:rPr>
        <w:t xml:space="preserve"> </w:t>
      </w:r>
      <w:r w:rsidR="468408AC" w:rsidRPr="188666AD">
        <w:rPr>
          <w:rFonts w:ascii="Times New Roman" w:hAnsi="Times New Roman" w:cs="Times New Roman"/>
          <w:sz w:val="28"/>
          <w:szCs w:val="28"/>
        </w:rPr>
        <w:t>(</w:t>
      </w:r>
      <w:r w:rsidR="00FA42C9" w:rsidRPr="188666AD">
        <w:rPr>
          <w:rFonts w:ascii="Times New Roman" w:hAnsi="Times New Roman" w:cs="Times New Roman"/>
          <w:sz w:val="28"/>
          <w:szCs w:val="28"/>
        </w:rPr>
        <w:t xml:space="preserve">Hert, </w:t>
      </w:r>
      <w:proofErr w:type="spellStart"/>
      <w:r w:rsidR="00FA42C9" w:rsidRPr="188666AD">
        <w:rPr>
          <w:rFonts w:ascii="Times New Roman" w:hAnsi="Times New Roman" w:cs="Times New Roman"/>
          <w:sz w:val="28"/>
          <w:szCs w:val="28"/>
        </w:rPr>
        <w:t>Gutwirth</w:t>
      </w:r>
      <w:proofErr w:type="spellEnd"/>
      <w:r w:rsidRPr="188666AD">
        <w:rPr>
          <w:rFonts w:ascii="Times New Roman" w:hAnsi="Times New Roman" w:cs="Times New Roman"/>
          <w:sz w:val="28"/>
          <w:szCs w:val="28"/>
        </w:rPr>
        <w:t>, pp. 5-7</w:t>
      </w:r>
      <w:r w:rsidR="46B062AD" w:rsidRPr="188666AD">
        <w:rPr>
          <w:rFonts w:ascii="Times New Roman" w:hAnsi="Times New Roman" w:cs="Times New Roman"/>
          <w:sz w:val="28"/>
          <w:szCs w:val="28"/>
        </w:rPr>
        <w:t>)</w:t>
      </w:r>
      <w:r w:rsidRPr="188666AD">
        <w:rPr>
          <w:rFonts w:ascii="Times New Roman" w:hAnsi="Times New Roman" w:cs="Times New Roman"/>
          <w:sz w:val="28"/>
          <w:szCs w:val="28"/>
        </w:rPr>
        <w:t xml:space="preserve">, among others, innovation in the field should be encouraged, and rules already long known to law enforcement agencies, such as allowing data to be exchanged only for law enforcement purposes and where assurances are created that the receiving party will also use it for the same purpose </w:t>
      </w:r>
      <w:r w:rsidR="7CFB824D" w:rsidRPr="188666AD">
        <w:rPr>
          <w:rFonts w:ascii="Times New Roman" w:hAnsi="Times New Roman" w:cs="Times New Roman"/>
          <w:sz w:val="28"/>
          <w:szCs w:val="28"/>
        </w:rPr>
        <w:t>(</w:t>
      </w:r>
      <w:r w:rsidR="00FA42C9" w:rsidRPr="188666AD">
        <w:rPr>
          <w:rFonts w:ascii="Times New Roman" w:hAnsi="Times New Roman" w:cs="Times New Roman"/>
          <w:sz w:val="28"/>
          <w:szCs w:val="28"/>
        </w:rPr>
        <w:t xml:space="preserve">Hert, </w:t>
      </w:r>
      <w:proofErr w:type="spellStart"/>
      <w:r w:rsidR="00FA42C9" w:rsidRPr="188666AD">
        <w:rPr>
          <w:rFonts w:ascii="Times New Roman" w:hAnsi="Times New Roman" w:cs="Times New Roman"/>
          <w:sz w:val="28"/>
          <w:szCs w:val="28"/>
        </w:rPr>
        <w:t>Gutwirth</w:t>
      </w:r>
      <w:proofErr w:type="spellEnd"/>
      <w:r w:rsidR="00FA42C9" w:rsidRPr="188666AD">
        <w:rPr>
          <w:rFonts w:ascii="Times New Roman" w:hAnsi="Times New Roman" w:cs="Times New Roman"/>
          <w:sz w:val="28"/>
          <w:szCs w:val="28"/>
        </w:rPr>
        <w:t xml:space="preserve"> 2006</w:t>
      </w:r>
      <w:r w:rsidRPr="188666AD">
        <w:rPr>
          <w:rFonts w:ascii="Times New Roman" w:hAnsi="Times New Roman" w:cs="Times New Roman"/>
          <w:sz w:val="28"/>
          <w:szCs w:val="28"/>
        </w:rPr>
        <w:t>, p. 4</w:t>
      </w:r>
      <w:r w:rsidR="75C15F7C" w:rsidRPr="188666AD">
        <w:rPr>
          <w:rFonts w:ascii="Times New Roman" w:hAnsi="Times New Roman" w:cs="Times New Roman"/>
          <w:sz w:val="28"/>
          <w:szCs w:val="28"/>
        </w:rPr>
        <w:t>)</w:t>
      </w:r>
      <w:r w:rsidRPr="188666AD">
        <w:rPr>
          <w:rFonts w:ascii="Times New Roman" w:hAnsi="Times New Roman" w:cs="Times New Roman"/>
          <w:sz w:val="28"/>
          <w:szCs w:val="28"/>
        </w:rPr>
        <w:t xml:space="preserve">, can be applied to them. The requirement to achieve interoperability, otherwise aimed at covering the widest possible range of interested </w:t>
      </w:r>
      <w:proofErr w:type="spellStart"/>
      <w:r w:rsidRPr="188666AD">
        <w:rPr>
          <w:rFonts w:ascii="Times New Roman" w:hAnsi="Times New Roman" w:cs="Times New Roman"/>
          <w:sz w:val="28"/>
          <w:szCs w:val="28"/>
        </w:rPr>
        <w:t>organisations</w:t>
      </w:r>
      <w:proofErr w:type="spellEnd"/>
      <w:r w:rsidRPr="188666AD">
        <w:rPr>
          <w:rFonts w:ascii="Times New Roman" w:hAnsi="Times New Roman" w:cs="Times New Roman"/>
          <w:sz w:val="28"/>
          <w:szCs w:val="28"/>
        </w:rPr>
        <w:t xml:space="preserve">, should here be </w:t>
      </w:r>
      <w:r w:rsidR="00EC47AD" w:rsidRPr="188666AD">
        <w:rPr>
          <w:rFonts w:ascii="Times New Roman" w:hAnsi="Times New Roman" w:cs="Times New Roman"/>
          <w:sz w:val="28"/>
          <w:szCs w:val="28"/>
        </w:rPr>
        <w:t xml:space="preserve">looked at </w:t>
      </w:r>
      <w:r w:rsidRPr="188666AD">
        <w:rPr>
          <w:rFonts w:ascii="Times New Roman" w:hAnsi="Times New Roman" w:cs="Times New Roman"/>
          <w:sz w:val="28"/>
          <w:szCs w:val="28"/>
        </w:rPr>
        <w:t xml:space="preserve">as intra-sectoral because of the </w:t>
      </w:r>
      <w:proofErr w:type="gramStart"/>
      <w:r w:rsidRPr="188666AD">
        <w:rPr>
          <w:rFonts w:ascii="Times New Roman" w:hAnsi="Times New Roman" w:cs="Times New Roman"/>
          <w:sz w:val="28"/>
          <w:szCs w:val="28"/>
        </w:rPr>
        <w:t>particular protection</w:t>
      </w:r>
      <w:proofErr w:type="gramEnd"/>
      <w:r w:rsidRPr="188666AD">
        <w:rPr>
          <w:rFonts w:ascii="Times New Roman" w:hAnsi="Times New Roman" w:cs="Times New Roman"/>
          <w:sz w:val="28"/>
          <w:szCs w:val="28"/>
        </w:rPr>
        <w:t xml:space="preserve"> of information that can be segregated and would be useful to law enforcement</w:t>
      </w:r>
      <w:r w:rsidR="001C16FC" w:rsidRPr="188666AD">
        <w:rPr>
          <w:rFonts w:ascii="Times New Roman" w:hAnsi="Times New Roman" w:cs="Times New Roman"/>
          <w:sz w:val="28"/>
          <w:szCs w:val="28"/>
        </w:rPr>
        <w:t xml:space="preserve"> entities</w:t>
      </w:r>
      <w:r w:rsidRPr="188666AD">
        <w:rPr>
          <w:rFonts w:ascii="Times New Roman" w:hAnsi="Times New Roman" w:cs="Times New Roman"/>
          <w:sz w:val="28"/>
          <w:szCs w:val="28"/>
        </w:rPr>
        <w:t xml:space="preserve"> in the form of shared data.</w:t>
      </w:r>
    </w:p>
    <w:p w14:paraId="759C7C33" w14:textId="498B545D" w:rsidR="0091149A" w:rsidRPr="0091149A" w:rsidRDefault="0091149A" w:rsidP="00042220">
      <w:pPr>
        <w:spacing w:line="278" w:lineRule="auto"/>
        <w:ind w:firstLine="720"/>
        <w:jc w:val="both"/>
        <w:rPr>
          <w:rFonts w:ascii="Times New Roman" w:hAnsi="Times New Roman" w:cs="Times New Roman"/>
          <w:sz w:val="28"/>
          <w:szCs w:val="28"/>
        </w:rPr>
      </w:pPr>
      <w:r w:rsidRPr="188666AD">
        <w:rPr>
          <w:rFonts w:ascii="Times New Roman" w:hAnsi="Times New Roman" w:cs="Times New Roman"/>
          <w:sz w:val="28"/>
          <w:szCs w:val="28"/>
        </w:rPr>
        <w:t xml:space="preserve">Effective countering of cybercrime and the development of digital forensics are among the main reasons to </w:t>
      </w:r>
      <w:r w:rsidR="0004090E" w:rsidRPr="188666AD">
        <w:rPr>
          <w:rFonts w:ascii="Times New Roman" w:hAnsi="Times New Roman" w:cs="Times New Roman"/>
          <w:sz w:val="28"/>
          <w:szCs w:val="28"/>
        </w:rPr>
        <w:t xml:space="preserve">strive for </w:t>
      </w:r>
      <w:r w:rsidRPr="188666AD">
        <w:rPr>
          <w:rFonts w:ascii="Times New Roman" w:hAnsi="Times New Roman" w:cs="Times New Roman"/>
          <w:sz w:val="28"/>
          <w:szCs w:val="28"/>
        </w:rPr>
        <w:t>the development of shared datasets for law enforcement purposes. For example, human trafficking, pornography, child pornography, homicide</w:t>
      </w:r>
      <w:r w:rsidR="001A0CFF" w:rsidRPr="188666AD">
        <w:rPr>
          <w:rFonts w:ascii="Times New Roman" w:hAnsi="Times New Roman" w:cs="Times New Roman"/>
          <w:sz w:val="28"/>
          <w:szCs w:val="28"/>
        </w:rPr>
        <w:t>s</w:t>
      </w:r>
      <w:r w:rsidRPr="188666AD">
        <w:rPr>
          <w:rFonts w:ascii="Times New Roman" w:hAnsi="Times New Roman" w:cs="Times New Roman"/>
          <w:sz w:val="28"/>
          <w:szCs w:val="28"/>
        </w:rPr>
        <w:t xml:space="preserve">, drug dealing, terrorist activity, the cybercrime market, and cryptocurrency exchanges are the top eight most common crimes that can be investigated </w:t>
      </w:r>
      <w:r w:rsidR="00FF4E25" w:rsidRPr="188666AD">
        <w:rPr>
          <w:rFonts w:ascii="Times New Roman" w:hAnsi="Times New Roman" w:cs="Times New Roman"/>
          <w:sz w:val="28"/>
          <w:szCs w:val="28"/>
        </w:rPr>
        <w:t xml:space="preserve">with </w:t>
      </w:r>
      <w:r w:rsidR="00B07CE0" w:rsidRPr="188666AD">
        <w:rPr>
          <w:rFonts w:ascii="Times New Roman" w:hAnsi="Times New Roman" w:cs="Times New Roman"/>
          <w:sz w:val="28"/>
          <w:szCs w:val="28"/>
        </w:rPr>
        <w:t>the help of analytics programs</w:t>
      </w:r>
      <w:r w:rsidRPr="188666AD">
        <w:rPr>
          <w:rFonts w:ascii="Times New Roman" w:hAnsi="Times New Roman" w:cs="Times New Roman"/>
          <w:sz w:val="28"/>
          <w:szCs w:val="28"/>
        </w:rPr>
        <w:t xml:space="preserve"> </w:t>
      </w:r>
      <w:r w:rsidR="00FF4E25" w:rsidRPr="188666AD">
        <w:rPr>
          <w:rFonts w:ascii="Times New Roman" w:hAnsi="Times New Roman" w:cs="Times New Roman"/>
          <w:sz w:val="28"/>
          <w:szCs w:val="28"/>
        </w:rPr>
        <w:t xml:space="preserve">such as </w:t>
      </w:r>
      <w:r w:rsidRPr="188666AD">
        <w:rPr>
          <w:rFonts w:ascii="Times New Roman" w:hAnsi="Times New Roman" w:cs="Times New Roman"/>
          <w:sz w:val="28"/>
          <w:szCs w:val="28"/>
        </w:rPr>
        <w:t xml:space="preserve">the so-called Surface Web, Deep Web, and Dark Web </w:t>
      </w:r>
      <w:r w:rsidR="00833BAB" w:rsidRPr="188666AD">
        <w:rPr>
          <w:rFonts w:ascii="Times New Roman" w:hAnsi="Times New Roman" w:cs="Times New Roman"/>
          <w:sz w:val="28"/>
          <w:szCs w:val="28"/>
        </w:rPr>
        <w:t>(</w:t>
      </w:r>
      <w:r w:rsidR="00F619B5" w:rsidRPr="188666AD">
        <w:rPr>
          <w:rFonts w:ascii="Times New Roman" w:hAnsi="Times New Roman" w:cs="Times New Roman"/>
          <w:sz w:val="28"/>
          <w:szCs w:val="28"/>
        </w:rPr>
        <w:t xml:space="preserve">Nazah, Huda, </w:t>
      </w:r>
      <w:proofErr w:type="spellStart"/>
      <w:r w:rsidR="00F619B5" w:rsidRPr="188666AD">
        <w:rPr>
          <w:rFonts w:ascii="Times New Roman" w:hAnsi="Times New Roman" w:cs="Times New Roman"/>
          <w:sz w:val="28"/>
          <w:szCs w:val="28"/>
        </w:rPr>
        <w:t>Aba</w:t>
      </w:r>
      <w:r w:rsidR="00833BAB" w:rsidRPr="188666AD">
        <w:rPr>
          <w:rFonts w:ascii="Times New Roman" w:hAnsi="Times New Roman" w:cs="Times New Roman"/>
          <w:sz w:val="28"/>
          <w:szCs w:val="28"/>
        </w:rPr>
        <w:t>waju</w:t>
      </w:r>
      <w:proofErr w:type="spellEnd"/>
      <w:r w:rsidR="00833BAB" w:rsidRPr="188666AD">
        <w:rPr>
          <w:rFonts w:ascii="Times New Roman" w:hAnsi="Times New Roman" w:cs="Times New Roman"/>
          <w:sz w:val="28"/>
          <w:szCs w:val="28"/>
        </w:rPr>
        <w:t>, Hassan 2020</w:t>
      </w:r>
      <w:r w:rsidRPr="188666AD">
        <w:rPr>
          <w:rFonts w:ascii="Times New Roman" w:hAnsi="Times New Roman" w:cs="Times New Roman"/>
          <w:sz w:val="28"/>
          <w:szCs w:val="28"/>
        </w:rPr>
        <w:t xml:space="preserve">, pp. </w:t>
      </w:r>
      <w:r w:rsidRPr="007F4756">
        <w:rPr>
          <w:rFonts w:ascii="Times New Roman" w:hAnsi="Times New Roman" w:cs="Times New Roman"/>
          <w:sz w:val="28"/>
          <w:szCs w:val="28"/>
        </w:rPr>
        <w:t>171800-171801</w:t>
      </w:r>
      <w:r w:rsidR="00F619B5" w:rsidRPr="007F4756">
        <w:rPr>
          <w:rFonts w:ascii="Times New Roman" w:hAnsi="Times New Roman" w:cs="Times New Roman"/>
          <w:sz w:val="28"/>
          <w:szCs w:val="28"/>
        </w:rPr>
        <w:t>, 171802</w:t>
      </w:r>
      <w:r w:rsidR="00C905E0" w:rsidRPr="188666AD">
        <w:rPr>
          <w:rFonts w:ascii="Times New Roman" w:hAnsi="Times New Roman" w:cs="Times New Roman"/>
          <w:sz w:val="28"/>
          <w:szCs w:val="28"/>
        </w:rPr>
        <w:t>).</w:t>
      </w:r>
      <w:r w:rsidR="00833BAB" w:rsidRPr="188666AD">
        <w:rPr>
          <w:rFonts w:ascii="Times New Roman" w:hAnsi="Times New Roman" w:cs="Times New Roman"/>
          <w:sz w:val="28"/>
          <w:szCs w:val="28"/>
        </w:rPr>
        <w:t xml:space="preserve"> Th</w:t>
      </w:r>
      <w:r w:rsidR="00E31540" w:rsidRPr="188666AD">
        <w:rPr>
          <w:rFonts w:ascii="Times New Roman" w:hAnsi="Times New Roman" w:cs="Times New Roman"/>
          <w:sz w:val="28"/>
          <w:szCs w:val="28"/>
        </w:rPr>
        <w:t>e</w:t>
      </w:r>
      <w:r w:rsidR="00833BAB" w:rsidRPr="188666AD">
        <w:rPr>
          <w:rFonts w:ascii="Times New Roman" w:hAnsi="Times New Roman" w:cs="Times New Roman"/>
          <w:sz w:val="28"/>
          <w:szCs w:val="28"/>
        </w:rPr>
        <w:t xml:space="preserve"> c</w:t>
      </w:r>
      <w:r w:rsidRPr="188666AD">
        <w:rPr>
          <w:rFonts w:ascii="Times New Roman" w:hAnsi="Times New Roman" w:cs="Times New Roman"/>
          <w:sz w:val="28"/>
          <w:szCs w:val="28"/>
        </w:rPr>
        <w:t>ollecting, interpreting, and verifying</w:t>
      </w:r>
      <w:r w:rsidR="0047085B" w:rsidRPr="188666AD">
        <w:rPr>
          <w:rFonts w:ascii="Times New Roman" w:hAnsi="Times New Roman" w:cs="Times New Roman"/>
          <w:sz w:val="28"/>
          <w:szCs w:val="28"/>
        </w:rPr>
        <w:t xml:space="preserve"> </w:t>
      </w:r>
      <w:r w:rsidRPr="188666AD">
        <w:rPr>
          <w:rFonts w:ascii="Times New Roman" w:hAnsi="Times New Roman" w:cs="Times New Roman"/>
          <w:sz w:val="28"/>
          <w:szCs w:val="28"/>
        </w:rPr>
        <w:t xml:space="preserve">the </w:t>
      </w:r>
      <w:r w:rsidR="00E31540" w:rsidRPr="188666AD">
        <w:rPr>
          <w:rFonts w:ascii="Times New Roman" w:hAnsi="Times New Roman" w:cs="Times New Roman"/>
          <w:sz w:val="28"/>
          <w:szCs w:val="28"/>
        </w:rPr>
        <w:t xml:space="preserve">credibility </w:t>
      </w:r>
      <w:r w:rsidRPr="188666AD">
        <w:rPr>
          <w:rFonts w:ascii="Times New Roman" w:hAnsi="Times New Roman" w:cs="Times New Roman"/>
          <w:sz w:val="28"/>
          <w:szCs w:val="28"/>
        </w:rPr>
        <w:t xml:space="preserve">of data on the Internet, on the other hand, is a self-contained process </w:t>
      </w:r>
      <w:r w:rsidR="31016D3D" w:rsidRPr="188666AD">
        <w:rPr>
          <w:rFonts w:ascii="Times New Roman" w:hAnsi="Times New Roman" w:cs="Times New Roman"/>
          <w:sz w:val="28"/>
          <w:szCs w:val="28"/>
        </w:rPr>
        <w:t>(</w:t>
      </w:r>
      <w:r w:rsidR="001C1570" w:rsidRPr="188666AD">
        <w:rPr>
          <w:rFonts w:ascii="Times New Roman" w:hAnsi="Times New Roman" w:cs="Times New Roman"/>
          <w:sz w:val="28"/>
          <w:szCs w:val="28"/>
        </w:rPr>
        <w:t>Böhm</w:t>
      </w:r>
      <w:r w:rsidRPr="188666AD">
        <w:rPr>
          <w:rFonts w:ascii="Times New Roman" w:hAnsi="Times New Roman" w:cs="Times New Roman"/>
          <w:sz w:val="28"/>
          <w:szCs w:val="28"/>
        </w:rPr>
        <w:t xml:space="preserve">, </w:t>
      </w:r>
      <w:proofErr w:type="spellStart"/>
      <w:r w:rsidR="001C1570" w:rsidRPr="188666AD">
        <w:rPr>
          <w:rFonts w:ascii="Times New Roman" w:hAnsi="Times New Roman" w:cs="Times New Roman"/>
          <w:sz w:val="28"/>
          <w:szCs w:val="28"/>
        </w:rPr>
        <w:t>Lolagar</w:t>
      </w:r>
      <w:proofErr w:type="spellEnd"/>
      <w:r w:rsidR="001C1570" w:rsidRPr="188666AD">
        <w:rPr>
          <w:rFonts w:ascii="Times New Roman" w:hAnsi="Times New Roman" w:cs="Times New Roman"/>
          <w:sz w:val="28"/>
          <w:szCs w:val="28"/>
        </w:rPr>
        <w:t xml:space="preserve"> 2021</w:t>
      </w:r>
      <w:r w:rsidR="00AB0E73" w:rsidRPr="188666AD">
        <w:rPr>
          <w:rFonts w:ascii="Times New Roman" w:hAnsi="Times New Roman" w:cs="Times New Roman"/>
          <w:sz w:val="28"/>
          <w:szCs w:val="28"/>
        </w:rPr>
        <w:t xml:space="preserve">, </w:t>
      </w:r>
      <w:r w:rsidRPr="188666AD">
        <w:rPr>
          <w:rFonts w:ascii="Times New Roman" w:hAnsi="Times New Roman" w:cs="Times New Roman"/>
          <w:sz w:val="28"/>
          <w:szCs w:val="28"/>
        </w:rPr>
        <w:t>p. 325</w:t>
      </w:r>
      <w:r w:rsidR="229C539D" w:rsidRPr="188666AD">
        <w:rPr>
          <w:rFonts w:ascii="Times New Roman" w:hAnsi="Times New Roman" w:cs="Times New Roman"/>
          <w:sz w:val="28"/>
          <w:szCs w:val="28"/>
        </w:rPr>
        <w:t>)</w:t>
      </w:r>
      <w:r w:rsidRPr="188666AD">
        <w:rPr>
          <w:rFonts w:ascii="Times New Roman" w:hAnsi="Times New Roman" w:cs="Times New Roman"/>
          <w:sz w:val="28"/>
          <w:szCs w:val="28"/>
        </w:rPr>
        <w:t xml:space="preserve"> that can be secured in a variety of ways, but often for law enforcement </w:t>
      </w:r>
      <w:r w:rsidRPr="188666AD">
        <w:rPr>
          <w:rFonts w:ascii="Times New Roman" w:hAnsi="Times New Roman" w:cs="Times New Roman"/>
          <w:sz w:val="28"/>
          <w:szCs w:val="28"/>
        </w:rPr>
        <w:lastRenderedPageBreak/>
        <w:t xml:space="preserve">agencies themselves, open data work and "open source" based investigation prove to be highly effective mechanisms precisely in the fight against cybercrime and crimes mediated in the virtual environment </w:t>
      </w:r>
      <w:r w:rsidR="00782DC5" w:rsidRPr="188666AD">
        <w:rPr>
          <w:rFonts w:ascii="Times New Roman" w:hAnsi="Times New Roman" w:cs="Times New Roman"/>
          <w:sz w:val="28"/>
          <w:szCs w:val="28"/>
        </w:rPr>
        <w:t>(</w:t>
      </w:r>
      <w:r w:rsidR="003264C4" w:rsidRPr="188666AD">
        <w:rPr>
          <w:rFonts w:ascii="Times New Roman" w:hAnsi="Times New Roman" w:cs="Times New Roman"/>
          <w:sz w:val="28"/>
          <w:szCs w:val="28"/>
        </w:rPr>
        <w:t>Ivan</w:t>
      </w:r>
      <w:r w:rsidR="00730C55" w:rsidRPr="188666AD">
        <w:rPr>
          <w:rFonts w:ascii="Times New Roman" w:hAnsi="Times New Roman" w:cs="Times New Roman"/>
          <w:sz w:val="28"/>
          <w:szCs w:val="28"/>
        </w:rPr>
        <w:t xml:space="preserve">jko, </w:t>
      </w:r>
      <w:proofErr w:type="spellStart"/>
      <w:r w:rsidR="00730C55" w:rsidRPr="188666AD">
        <w:rPr>
          <w:rFonts w:ascii="Times New Roman" w:hAnsi="Times New Roman" w:cs="Times New Roman"/>
          <w:sz w:val="28"/>
          <w:szCs w:val="28"/>
        </w:rPr>
        <w:t>Dokman</w:t>
      </w:r>
      <w:proofErr w:type="spellEnd"/>
      <w:r w:rsidR="00730C55" w:rsidRPr="188666AD">
        <w:rPr>
          <w:rFonts w:ascii="Times New Roman" w:hAnsi="Times New Roman" w:cs="Times New Roman"/>
          <w:sz w:val="28"/>
          <w:szCs w:val="28"/>
        </w:rPr>
        <w:t xml:space="preserve"> 2019; Yadav, Kumar, Singh</w:t>
      </w:r>
      <w:r w:rsidRPr="188666AD">
        <w:rPr>
          <w:rFonts w:ascii="Times New Roman" w:hAnsi="Times New Roman" w:cs="Times New Roman"/>
          <w:sz w:val="28"/>
          <w:szCs w:val="28"/>
        </w:rPr>
        <w:t xml:space="preserve">, p. </w:t>
      </w:r>
      <w:r w:rsidRPr="003D6ED5">
        <w:rPr>
          <w:rFonts w:ascii="Times New Roman" w:hAnsi="Times New Roman" w:cs="Times New Roman"/>
          <w:sz w:val="28"/>
          <w:szCs w:val="28"/>
        </w:rPr>
        <w:t>12420</w:t>
      </w:r>
      <w:r w:rsidR="00782DC5" w:rsidRPr="188666AD">
        <w:rPr>
          <w:rFonts w:ascii="Times New Roman" w:hAnsi="Times New Roman" w:cs="Times New Roman"/>
          <w:sz w:val="28"/>
          <w:szCs w:val="28"/>
        </w:rPr>
        <w:t>)</w:t>
      </w:r>
      <w:r w:rsidRPr="188666AD">
        <w:rPr>
          <w:rFonts w:ascii="Times New Roman" w:hAnsi="Times New Roman" w:cs="Times New Roman"/>
          <w:sz w:val="28"/>
          <w:szCs w:val="28"/>
        </w:rPr>
        <w:t xml:space="preserve">. Information becomes valuable to investigations when it is collected in a timely manner and for a specific purpose, and when it is </w:t>
      </w:r>
      <w:r w:rsidR="00BE4688" w:rsidRPr="188666AD">
        <w:rPr>
          <w:rFonts w:ascii="Times New Roman" w:hAnsi="Times New Roman" w:cs="Times New Roman"/>
          <w:sz w:val="28"/>
          <w:szCs w:val="28"/>
        </w:rPr>
        <w:t xml:space="preserve">explored </w:t>
      </w:r>
      <w:r w:rsidRPr="188666AD">
        <w:rPr>
          <w:rFonts w:ascii="Times New Roman" w:hAnsi="Times New Roman" w:cs="Times New Roman"/>
          <w:sz w:val="28"/>
          <w:szCs w:val="28"/>
        </w:rPr>
        <w:t xml:space="preserve">within a broad context of related data </w:t>
      </w:r>
      <w:r w:rsidR="00782DC5" w:rsidRPr="188666AD">
        <w:rPr>
          <w:rFonts w:ascii="Times New Roman" w:hAnsi="Times New Roman" w:cs="Times New Roman"/>
          <w:sz w:val="28"/>
          <w:szCs w:val="28"/>
        </w:rPr>
        <w:t>(</w:t>
      </w:r>
      <w:r w:rsidR="00886A73" w:rsidRPr="188666AD">
        <w:rPr>
          <w:rFonts w:ascii="Times New Roman" w:hAnsi="Times New Roman" w:cs="Times New Roman"/>
          <w:sz w:val="28"/>
          <w:szCs w:val="28"/>
        </w:rPr>
        <w:t>Williams, Blum 2018</w:t>
      </w:r>
      <w:r w:rsidRPr="188666AD">
        <w:rPr>
          <w:rFonts w:ascii="Times New Roman" w:hAnsi="Times New Roman" w:cs="Times New Roman"/>
          <w:sz w:val="28"/>
          <w:szCs w:val="28"/>
        </w:rPr>
        <w:t>, p. 8</w:t>
      </w:r>
      <w:r w:rsidR="00886A73" w:rsidRPr="188666AD">
        <w:rPr>
          <w:rFonts w:ascii="Times New Roman" w:hAnsi="Times New Roman" w:cs="Times New Roman"/>
          <w:sz w:val="28"/>
          <w:szCs w:val="28"/>
        </w:rPr>
        <w:t>,</w:t>
      </w:r>
      <w:r w:rsidRPr="188666AD">
        <w:rPr>
          <w:rFonts w:ascii="Times New Roman" w:hAnsi="Times New Roman" w:cs="Times New Roman"/>
          <w:sz w:val="28"/>
          <w:szCs w:val="28"/>
        </w:rPr>
        <w:t xml:space="preserve"> 10</w:t>
      </w:r>
      <w:r w:rsidR="00782DC5" w:rsidRPr="188666AD">
        <w:rPr>
          <w:rFonts w:ascii="Times New Roman" w:hAnsi="Times New Roman" w:cs="Times New Roman"/>
          <w:sz w:val="28"/>
          <w:szCs w:val="28"/>
        </w:rPr>
        <w:t>)</w:t>
      </w:r>
      <w:r w:rsidRPr="188666AD">
        <w:rPr>
          <w:rFonts w:ascii="Times New Roman" w:hAnsi="Times New Roman" w:cs="Times New Roman"/>
          <w:sz w:val="28"/>
          <w:szCs w:val="28"/>
        </w:rPr>
        <w:t xml:space="preserve"> - precisely the goal pursued by the development of shared datasets for law enforcement purposes.</w:t>
      </w:r>
    </w:p>
    <w:p w14:paraId="023A2829" w14:textId="3BD08376" w:rsidR="00731FA5" w:rsidRPr="000078A3" w:rsidRDefault="00731FA5" w:rsidP="00042220">
      <w:pPr>
        <w:spacing w:line="278" w:lineRule="auto"/>
        <w:ind w:firstLine="720"/>
        <w:jc w:val="both"/>
        <w:rPr>
          <w:rFonts w:ascii="Times New Roman" w:eastAsia="Times New Roman" w:hAnsi="Times New Roman" w:cs="Times New Roman"/>
          <w:sz w:val="28"/>
          <w:szCs w:val="28"/>
        </w:rPr>
      </w:pPr>
      <w:r w:rsidRPr="401B796B">
        <w:rPr>
          <w:rFonts w:ascii="Times New Roman" w:hAnsi="Times New Roman" w:cs="Times New Roman"/>
          <w:sz w:val="28"/>
          <w:szCs w:val="28"/>
        </w:rPr>
        <w:t>A distinction should be made here between open data and data collected in</w:t>
      </w:r>
      <w:r w:rsidR="0922A72B" w:rsidRPr="401B796B">
        <w:rPr>
          <w:rFonts w:ascii="Times New Roman" w:hAnsi="Times New Roman" w:cs="Times New Roman"/>
          <w:sz w:val="28"/>
          <w:szCs w:val="28"/>
        </w:rPr>
        <w:t xml:space="preserve"> investigations based on</w:t>
      </w:r>
      <w:r w:rsidRPr="401B796B">
        <w:rPr>
          <w:rFonts w:ascii="Times New Roman" w:hAnsi="Times New Roman" w:cs="Times New Roman"/>
          <w:sz w:val="28"/>
          <w:szCs w:val="28"/>
        </w:rPr>
        <w:t xml:space="preserve"> open-source </w:t>
      </w:r>
      <w:r w:rsidR="228D37EE" w:rsidRPr="401B796B">
        <w:rPr>
          <w:rFonts w:ascii="Times New Roman" w:hAnsi="Times New Roman" w:cs="Times New Roman"/>
          <w:sz w:val="28"/>
          <w:szCs w:val="28"/>
        </w:rPr>
        <w:t>intelligence (</w:t>
      </w:r>
      <w:r w:rsidR="1ACDBC20" w:rsidRPr="401B796B">
        <w:rPr>
          <w:rFonts w:ascii="Times New Roman" w:hAnsi="Times New Roman" w:cs="Times New Roman"/>
          <w:sz w:val="28"/>
          <w:szCs w:val="28"/>
        </w:rPr>
        <w:t>OSINT)</w:t>
      </w:r>
      <w:r w:rsidRPr="401B796B">
        <w:rPr>
          <w:rFonts w:ascii="Times New Roman" w:hAnsi="Times New Roman" w:cs="Times New Roman"/>
          <w:sz w:val="28"/>
          <w:szCs w:val="28"/>
        </w:rPr>
        <w:t xml:space="preserve">, the former being progressively regulated at the European Union </w:t>
      </w:r>
      <w:proofErr w:type="gramStart"/>
      <w:r w:rsidRPr="401B796B">
        <w:rPr>
          <w:rFonts w:ascii="Times New Roman" w:hAnsi="Times New Roman" w:cs="Times New Roman"/>
          <w:sz w:val="28"/>
          <w:szCs w:val="28"/>
        </w:rPr>
        <w:t>level</w:t>
      </w:r>
      <w:r w:rsidR="00882DBB" w:rsidRPr="00882DBB">
        <w:rPr>
          <w:rFonts w:ascii="Times New Roman" w:hAnsi="Times New Roman" w:cs="Times New Roman"/>
          <w:sz w:val="28"/>
          <w:szCs w:val="28"/>
          <w:vertAlign w:val="superscript"/>
        </w:rPr>
        <w:t>6</w:t>
      </w:r>
      <w:proofErr w:type="gramEnd"/>
      <w:r w:rsidRPr="401B796B">
        <w:rPr>
          <w:rFonts w:ascii="Times New Roman" w:hAnsi="Times New Roman" w:cs="Times New Roman"/>
          <w:sz w:val="28"/>
          <w:szCs w:val="28"/>
        </w:rPr>
        <w:t>. The open data doctrine builds on the concept</w:t>
      </w:r>
      <w:r w:rsidR="6F5AF343" w:rsidRPr="401B796B">
        <w:rPr>
          <w:rFonts w:ascii="Times New Roman" w:hAnsi="Times New Roman" w:cs="Times New Roman"/>
          <w:sz w:val="28"/>
          <w:szCs w:val="28"/>
        </w:rPr>
        <w:t xml:space="preserve"> </w:t>
      </w:r>
      <w:proofErr w:type="gramStart"/>
      <w:r w:rsidR="6F5AF343" w:rsidRPr="401B796B">
        <w:rPr>
          <w:rFonts w:ascii="Times New Roman" w:hAnsi="Times New Roman" w:cs="Times New Roman"/>
          <w:sz w:val="28"/>
          <w:szCs w:val="28"/>
        </w:rPr>
        <w:t>on</w:t>
      </w:r>
      <w:proofErr w:type="gramEnd"/>
      <w:r w:rsidR="6F5AF343" w:rsidRPr="401B796B">
        <w:rPr>
          <w:rFonts w:ascii="Times New Roman" w:hAnsi="Times New Roman" w:cs="Times New Roman"/>
          <w:sz w:val="28"/>
          <w:szCs w:val="28"/>
        </w:rPr>
        <w:t xml:space="preserve"> access to public information, that has </w:t>
      </w:r>
      <w:r w:rsidRPr="401B796B">
        <w:rPr>
          <w:rFonts w:ascii="Times New Roman" w:hAnsi="Times New Roman" w:cs="Times New Roman"/>
          <w:sz w:val="28"/>
          <w:szCs w:val="28"/>
        </w:rPr>
        <w:t xml:space="preserve">already </w:t>
      </w:r>
      <w:r w:rsidR="5C7E8528" w:rsidRPr="401B796B">
        <w:rPr>
          <w:rFonts w:ascii="Times New Roman" w:hAnsi="Times New Roman" w:cs="Times New Roman"/>
          <w:sz w:val="28"/>
          <w:szCs w:val="28"/>
        </w:rPr>
        <w:t xml:space="preserve">been </w:t>
      </w:r>
      <w:r w:rsidRPr="401B796B">
        <w:rPr>
          <w:rFonts w:ascii="Times New Roman" w:hAnsi="Times New Roman" w:cs="Times New Roman"/>
          <w:sz w:val="28"/>
          <w:szCs w:val="28"/>
        </w:rPr>
        <w:t xml:space="preserve">developed over the years </w:t>
      </w:r>
      <w:r w:rsidR="4A95C5C2" w:rsidRPr="401B796B">
        <w:rPr>
          <w:rFonts w:ascii="Times New Roman" w:hAnsi="Times New Roman" w:cs="Times New Roman"/>
          <w:sz w:val="28"/>
          <w:szCs w:val="28"/>
        </w:rPr>
        <w:t>(</w:t>
      </w:r>
      <w:r w:rsidR="65EA1B0A" w:rsidRPr="401B796B">
        <w:rPr>
          <w:rFonts w:ascii="Times New Roman" w:hAnsi="Times New Roman" w:cs="Times New Roman"/>
          <w:sz w:val="28"/>
          <w:szCs w:val="28"/>
        </w:rPr>
        <w:t>Wessels, Finn, Sveinsdottir, Wadhwa 2017</w:t>
      </w:r>
      <w:r w:rsidRPr="401B796B">
        <w:rPr>
          <w:rFonts w:ascii="Times New Roman" w:hAnsi="Times New Roman" w:cs="Times New Roman"/>
          <w:sz w:val="28"/>
          <w:szCs w:val="28"/>
        </w:rPr>
        <w:t>, p. 50</w:t>
      </w:r>
      <w:r w:rsidR="520BDC80" w:rsidRPr="401B796B">
        <w:rPr>
          <w:rFonts w:ascii="Times New Roman" w:hAnsi="Times New Roman" w:cs="Times New Roman"/>
          <w:sz w:val="28"/>
          <w:szCs w:val="28"/>
        </w:rPr>
        <w:t>)</w:t>
      </w:r>
      <w:r w:rsidRPr="401B796B">
        <w:rPr>
          <w:rFonts w:ascii="Times New Roman" w:hAnsi="Times New Roman" w:cs="Times New Roman"/>
          <w:sz w:val="28"/>
          <w:szCs w:val="28"/>
        </w:rPr>
        <w:t xml:space="preserve">, practically deriving principles to which data held by the executive should conform and be made public </w:t>
      </w:r>
      <w:proofErr w:type="gramStart"/>
      <w:r w:rsidRPr="401B796B">
        <w:rPr>
          <w:rFonts w:ascii="Times New Roman" w:hAnsi="Times New Roman" w:cs="Times New Roman"/>
          <w:sz w:val="28"/>
          <w:szCs w:val="28"/>
        </w:rPr>
        <w:t>in order to</w:t>
      </w:r>
      <w:proofErr w:type="gramEnd"/>
      <w:r w:rsidRPr="401B796B">
        <w:rPr>
          <w:rFonts w:ascii="Times New Roman" w:hAnsi="Times New Roman" w:cs="Times New Roman"/>
          <w:sz w:val="28"/>
          <w:szCs w:val="28"/>
        </w:rPr>
        <w:t xml:space="preserve"> engage citizens in public processes. Open data is data that can be freely used, reused and disseminated by anyone and, at most, a requirement to attribution and sharing on the same terms can be imposed on developments</w:t>
      </w:r>
      <w:r w:rsidR="001C34CE" w:rsidRPr="001C34CE">
        <w:rPr>
          <w:rFonts w:ascii="Times New Roman" w:hAnsi="Times New Roman" w:cs="Times New Roman"/>
          <w:sz w:val="28"/>
          <w:szCs w:val="28"/>
          <w:vertAlign w:val="superscript"/>
        </w:rPr>
        <w:t>7</w:t>
      </w:r>
      <w:r w:rsidRPr="401B796B">
        <w:rPr>
          <w:rFonts w:ascii="Times New Roman" w:hAnsi="Times New Roman" w:cs="Times New Roman"/>
          <w:sz w:val="28"/>
          <w:szCs w:val="28"/>
        </w:rPr>
        <w:t xml:space="preserve"> based on it. Open data should be complete, primary-sourced, timely, accessible, machine-readable, non-discriminatory, open-format, and unlicensed or open-licensed</w:t>
      </w:r>
      <w:r w:rsidR="00630A98" w:rsidRPr="00630A98">
        <w:rPr>
          <w:rFonts w:ascii="Times New Roman" w:hAnsi="Times New Roman" w:cs="Times New Roman"/>
          <w:sz w:val="28"/>
          <w:szCs w:val="28"/>
          <w:vertAlign w:val="superscript"/>
        </w:rPr>
        <w:t>8</w:t>
      </w:r>
      <w:r w:rsidRPr="401B796B">
        <w:rPr>
          <w:rFonts w:ascii="Times New Roman" w:hAnsi="Times New Roman" w:cs="Times New Roman"/>
          <w:sz w:val="28"/>
          <w:szCs w:val="28"/>
        </w:rPr>
        <w:t xml:space="preserve"> </w:t>
      </w:r>
      <w:r w:rsidR="0CDB898F" w:rsidRPr="401B796B">
        <w:rPr>
          <w:rFonts w:ascii="Times New Roman" w:hAnsi="Times New Roman" w:cs="Times New Roman"/>
          <w:sz w:val="28"/>
          <w:szCs w:val="28"/>
        </w:rPr>
        <w:t>(Wessels, Finn, Sveinsdottir, Wadhwa 2017</w:t>
      </w:r>
      <w:r w:rsidRPr="401B796B">
        <w:rPr>
          <w:rFonts w:ascii="Times New Roman" w:hAnsi="Times New Roman" w:cs="Times New Roman"/>
          <w:sz w:val="28"/>
          <w:szCs w:val="28"/>
        </w:rPr>
        <w:t>, p. 51</w:t>
      </w:r>
      <w:r w:rsidR="65BA189F" w:rsidRPr="401B796B">
        <w:rPr>
          <w:rFonts w:ascii="Times New Roman" w:hAnsi="Times New Roman" w:cs="Times New Roman"/>
          <w:sz w:val="28"/>
          <w:szCs w:val="28"/>
        </w:rPr>
        <w:t>)</w:t>
      </w:r>
      <w:r w:rsidRPr="401B796B">
        <w:rPr>
          <w:rFonts w:ascii="Times New Roman" w:hAnsi="Times New Roman" w:cs="Times New Roman"/>
          <w:sz w:val="28"/>
          <w:szCs w:val="28"/>
        </w:rPr>
        <w:t>. The main goal behind the development of open data legislation is to democratize</w:t>
      </w:r>
      <w:r w:rsidR="5CE22943" w:rsidRPr="401B796B">
        <w:rPr>
          <w:rFonts w:ascii="Times New Roman" w:hAnsi="Times New Roman" w:cs="Times New Roman"/>
          <w:sz w:val="28"/>
          <w:szCs w:val="28"/>
        </w:rPr>
        <w:t xml:space="preserve"> </w:t>
      </w:r>
      <w:r w:rsidRPr="401B796B">
        <w:rPr>
          <w:rFonts w:ascii="Times New Roman" w:hAnsi="Times New Roman" w:cs="Times New Roman"/>
          <w:sz w:val="28"/>
          <w:szCs w:val="28"/>
        </w:rPr>
        <w:t xml:space="preserve">access to high-value datasets </w:t>
      </w:r>
      <w:r w:rsidR="0EB4B8B1" w:rsidRPr="401B796B">
        <w:rPr>
          <w:rFonts w:ascii="Times New Roman" w:hAnsi="Times New Roman" w:cs="Times New Roman"/>
          <w:sz w:val="28"/>
          <w:szCs w:val="28"/>
        </w:rPr>
        <w:t>to</w:t>
      </w:r>
      <w:r w:rsidRPr="401B796B">
        <w:rPr>
          <w:rFonts w:ascii="Times New Roman" w:hAnsi="Times New Roman" w:cs="Times New Roman"/>
          <w:sz w:val="28"/>
          <w:szCs w:val="28"/>
        </w:rPr>
        <w:t xml:space="preserve"> ensure their reuse</w:t>
      </w:r>
      <w:r w:rsidR="004777F1" w:rsidRPr="004777F1">
        <w:rPr>
          <w:rFonts w:ascii="Times New Roman" w:hAnsi="Times New Roman" w:cs="Times New Roman"/>
          <w:sz w:val="28"/>
          <w:szCs w:val="28"/>
          <w:vertAlign w:val="superscript"/>
        </w:rPr>
        <w:t>9</w:t>
      </w:r>
      <w:r w:rsidRPr="401B796B">
        <w:rPr>
          <w:rFonts w:ascii="Times New Roman" w:hAnsi="Times New Roman" w:cs="Times New Roman"/>
          <w:sz w:val="28"/>
          <w:szCs w:val="28"/>
        </w:rPr>
        <w:t xml:space="preserve">. A similar trend, for example, has been </w:t>
      </w:r>
      <w:r w:rsidR="1D1DD077" w:rsidRPr="401B796B">
        <w:rPr>
          <w:rFonts w:ascii="Times New Roman" w:hAnsi="Times New Roman" w:cs="Times New Roman"/>
          <w:sz w:val="28"/>
          <w:szCs w:val="28"/>
        </w:rPr>
        <w:t xml:space="preserve">observed </w:t>
      </w:r>
      <w:r w:rsidRPr="401B796B">
        <w:rPr>
          <w:rFonts w:ascii="Times New Roman" w:hAnsi="Times New Roman" w:cs="Times New Roman"/>
          <w:sz w:val="28"/>
          <w:szCs w:val="28"/>
        </w:rPr>
        <w:t xml:space="preserve">in other protected categories of data, </w:t>
      </w:r>
      <w:r w:rsidR="6C1E713F" w:rsidRPr="38E9F94E">
        <w:rPr>
          <w:rFonts w:ascii="Times New Roman" w:eastAsia="Times New Roman" w:hAnsi="Times New Roman" w:cs="Times New Roman"/>
          <w:sz w:val="28"/>
          <w:szCs w:val="28"/>
        </w:rPr>
        <w:t>whose access and reuse</w:t>
      </w:r>
      <w:r w:rsidR="6C1E713F" w:rsidRPr="2B1EC308">
        <w:rPr>
          <w:rFonts w:ascii="Times New Roman" w:hAnsi="Times New Roman" w:cs="Times New Roman"/>
          <w:sz w:val="28"/>
          <w:szCs w:val="28"/>
        </w:rPr>
        <w:t xml:space="preserve"> are regulated by the Data Governance Act</w:t>
      </w:r>
      <w:r w:rsidR="00BB3DDC" w:rsidRPr="00BB3DDC">
        <w:rPr>
          <w:rFonts w:ascii="Times New Roman" w:hAnsi="Times New Roman" w:cs="Times New Roman"/>
          <w:sz w:val="28"/>
          <w:szCs w:val="28"/>
          <w:vertAlign w:val="superscript"/>
        </w:rPr>
        <w:t>10</w:t>
      </w:r>
      <w:r w:rsidR="0F355CB9" w:rsidRPr="2B1EC308">
        <w:rPr>
          <w:rFonts w:ascii="Times New Roman" w:hAnsi="Times New Roman" w:cs="Times New Roman"/>
          <w:sz w:val="28"/>
          <w:szCs w:val="28"/>
        </w:rPr>
        <w:t>.</w:t>
      </w:r>
    </w:p>
    <w:p w14:paraId="69715665" w14:textId="65536C19" w:rsidR="00BC6887" w:rsidRPr="000078A3" w:rsidRDefault="2DCF397C" w:rsidP="00042220">
      <w:pPr>
        <w:spacing w:line="278" w:lineRule="auto"/>
        <w:ind w:firstLine="720"/>
        <w:jc w:val="both"/>
        <w:rPr>
          <w:rFonts w:ascii="Times New Roman" w:hAnsi="Times New Roman" w:cs="Times New Roman"/>
          <w:sz w:val="28"/>
          <w:szCs w:val="28"/>
        </w:rPr>
      </w:pPr>
      <w:r w:rsidRPr="401B796B">
        <w:rPr>
          <w:rFonts w:ascii="Times New Roman" w:hAnsi="Times New Roman" w:cs="Times New Roman"/>
          <w:sz w:val="28"/>
          <w:szCs w:val="28"/>
        </w:rPr>
        <w:t>Open-source</w:t>
      </w:r>
      <w:r w:rsidR="00BC6887" w:rsidRPr="401B796B">
        <w:rPr>
          <w:rFonts w:ascii="Times New Roman" w:hAnsi="Times New Roman" w:cs="Times New Roman"/>
          <w:sz w:val="28"/>
          <w:szCs w:val="28"/>
        </w:rPr>
        <w:t xml:space="preserve"> investigation, on the other hand, is a well-established mechanism for collecting, analyzing, and disseminating data in a way that serves intelligence purposes. If within the 20th century </w:t>
      </w:r>
      <w:r w:rsidR="09490373" w:rsidRPr="401B796B">
        <w:rPr>
          <w:rFonts w:ascii="Times New Roman" w:hAnsi="Times New Roman" w:cs="Times New Roman"/>
          <w:sz w:val="28"/>
          <w:szCs w:val="28"/>
        </w:rPr>
        <w:t xml:space="preserve">it </w:t>
      </w:r>
      <w:r w:rsidR="00BC6887" w:rsidRPr="401B796B">
        <w:rPr>
          <w:rFonts w:ascii="Times New Roman" w:hAnsi="Times New Roman" w:cs="Times New Roman"/>
          <w:sz w:val="28"/>
          <w:szCs w:val="28"/>
        </w:rPr>
        <w:t xml:space="preserve">was mostly centered around the tracking of foreign media </w:t>
      </w:r>
      <w:proofErr w:type="gramStart"/>
      <w:r w:rsidR="00BC6887" w:rsidRPr="401B796B">
        <w:rPr>
          <w:rFonts w:ascii="Times New Roman" w:hAnsi="Times New Roman" w:cs="Times New Roman"/>
          <w:sz w:val="28"/>
          <w:szCs w:val="28"/>
        </w:rPr>
        <w:t>in order to</w:t>
      </w:r>
      <w:proofErr w:type="gramEnd"/>
      <w:r w:rsidR="00BC6887" w:rsidRPr="401B796B">
        <w:rPr>
          <w:rFonts w:ascii="Times New Roman" w:hAnsi="Times New Roman" w:cs="Times New Roman"/>
          <w:sz w:val="28"/>
          <w:szCs w:val="28"/>
        </w:rPr>
        <w:t xml:space="preserve"> obtain strategic information about the enemy's tactical intentions, the last twenty years have seen the so-called "second generation" of OSINT centered around the use of highly effective linguistic, geospatial, network and visual analysis tools. </w:t>
      </w:r>
      <w:r w:rsidR="42701EAD" w:rsidRPr="266F14F2">
        <w:rPr>
          <w:rFonts w:ascii="Times New Roman" w:eastAsia="Times New Roman" w:hAnsi="Times New Roman" w:cs="Times New Roman"/>
          <w:sz w:val="28"/>
          <w:szCs w:val="28"/>
        </w:rPr>
        <w:t xml:space="preserve">The use of OSINT is applied in </w:t>
      </w:r>
      <w:proofErr w:type="gramStart"/>
      <w:r w:rsidR="42701EAD" w:rsidRPr="266F14F2">
        <w:rPr>
          <w:rFonts w:ascii="Times New Roman" w:eastAsia="Times New Roman" w:hAnsi="Times New Roman" w:cs="Times New Roman"/>
          <w:sz w:val="28"/>
          <w:szCs w:val="28"/>
        </w:rPr>
        <w:t>a number of</w:t>
      </w:r>
      <w:proofErr w:type="gramEnd"/>
      <w:r w:rsidR="42701EAD" w:rsidRPr="266F14F2">
        <w:rPr>
          <w:rFonts w:ascii="Times New Roman" w:eastAsia="Times New Roman" w:hAnsi="Times New Roman" w:cs="Times New Roman"/>
          <w:sz w:val="28"/>
          <w:szCs w:val="28"/>
        </w:rPr>
        <w:t xml:space="preserve"> scenarios such as situational awareness, terrorist threat risk analysis, investigation of trafficking and smuggling, and </w:t>
      </w:r>
      <w:r w:rsidR="42701EAD" w:rsidRPr="05AD2B7C">
        <w:rPr>
          <w:rFonts w:ascii="Times New Roman" w:eastAsia="Times New Roman" w:hAnsi="Times New Roman" w:cs="Times New Roman"/>
          <w:sz w:val="28"/>
          <w:szCs w:val="28"/>
        </w:rPr>
        <w:t xml:space="preserve">online fraud </w:t>
      </w:r>
      <w:r w:rsidR="71F5935E" w:rsidRPr="401B796B">
        <w:rPr>
          <w:rFonts w:ascii="Times New Roman" w:hAnsi="Times New Roman" w:cs="Times New Roman"/>
          <w:sz w:val="28"/>
          <w:szCs w:val="28"/>
        </w:rPr>
        <w:t>(Yadav, Kumar, Singh 2023</w:t>
      </w:r>
      <w:r w:rsidR="00BC6887" w:rsidRPr="401B796B">
        <w:rPr>
          <w:rFonts w:ascii="Times New Roman" w:hAnsi="Times New Roman" w:cs="Times New Roman"/>
          <w:sz w:val="28"/>
          <w:szCs w:val="28"/>
        </w:rPr>
        <w:t xml:space="preserve">, </w:t>
      </w:r>
      <w:r w:rsidR="00BC6887" w:rsidRPr="003D6ED5">
        <w:rPr>
          <w:rFonts w:ascii="Times New Roman" w:hAnsi="Times New Roman" w:cs="Times New Roman"/>
          <w:sz w:val="28"/>
          <w:szCs w:val="28"/>
        </w:rPr>
        <w:t>p. 12420</w:t>
      </w:r>
      <w:r w:rsidR="51EBFFA4" w:rsidRPr="003D6ED5">
        <w:rPr>
          <w:rFonts w:ascii="Times New Roman" w:hAnsi="Times New Roman" w:cs="Times New Roman"/>
          <w:sz w:val="28"/>
          <w:szCs w:val="28"/>
        </w:rPr>
        <w:t>)</w:t>
      </w:r>
      <w:r w:rsidR="00BC6887" w:rsidRPr="003D6ED5">
        <w:rPr>
          <w:rFonts w:ascii="Times New Roman" w:hAnsi="Times New Roman" w:cs="Times New Roman"/>
          <w:sz w:val="28"/>
          <w:szCs w:val="28"/>
        </w:rPr>
        <w:t>.</w:t>
      </w:r>
    </w:p>
    <w:p w14:paraId="6850A22D" w14:textId="13615584" w:rsidR="0013360B" w:rsidRDefault="0013360B" w:rsidP="76D17F31">
      <w:pPr>
        <w:spacing w:line="278" w:lineRule="auto"/>
        <w:ind w:firstLine="720"/>
        <w:jc w:val="both"/>
        <w:rPr>
          <w:rFonts w:ascii="Times New Roman" w:hAnsi="Times New Roman" w:cs="Times New Roman"/>
          <w:sz w:val="28"/>
          <w:szCs w:val="28"/>
        </w:rPr>
      </w:pPr>
      <w:r w:rsidRPr="76D17F31">
        <w:rPr>
          <w:rFonts w:ascii="Times New Roman" w:hAnsi="Times New Roman" w:cs="Times New Roman"/>
          <w:sz w:val="28"/>
          <w:szCs w:val="28"/>
        </w:rPr>
        <w:t xml:space="preserve">Handling such large </w:t>
      </w:r>
      <w:r w:rsidR="4D552C66" w:rsidRPr="76D17F31">
        <w:rPr>
          <w:rFonts w:ascii="Times New Roman" w:eastAsia="Times New Roman" w:hAnsi="Times New Roman" w:cs="Times New Roman"/>
          <w:sz w:val="28"/>
          <w:szCs w:val="28"/>
        </w:rPr>
        <w:t>volumes of information requires</w:t>
      </w:r>
      <w:r w:rsidRPr="76D17F31">
        <w:rPr>
          <w:rFonts w:ascii="Times New Roman" w:hAnsi="Times New Roman" w:cs="Times New Roman"/>
          <w:sz w:val="28"/>
          <w:szCs w:val="28"/>
        </w:rPr>
        <w:t xml:space="preserve"> adherence to high </w:t>
      </w:r>
      <w:r w:rsidR="4D552C66" w:rsidRPr="76D17F31">
        <w:rPr>
          <w:rFonts w:ascii="Times New Roman" w:eastAsia="Times New Roman" w:hAnsi="Times New Roman" w:cs="Times New Roman"/>
          <w:sz w:val="28"/>
          <w:szCs w:val="28"/>
        </w:rPr>
        <w:t>ethical standards</w:t>
      </w:r>
      <w:r w:rsidRPr="76D17F31">
        <w:rPr>
          <w:rFonts w:ascii="Times New Roman" w:hAnsi="Times New Roman" w:cs="Times New Roman"/>
          <w:sz w:val="28"/>
          <w:szCs w:val="28"/>
        </w:rPr>
        <w:t xml:space="preserve"> and </w:t>
      </w:r>
      <w:r w:rsidR="68B40509" w:rsidRPr="76D17F31">
        <w:rPr>
          <w:rFonts w:ascii="Times New Roman" w:hAnsi="Times New Roman" w:cs="Times New Roman"/>
          <w:sz w:val="28"/>
          <w:szCs w:val="28"/>
        </w:rPr>
        <w:t>repeated</w:t>
      </w:r>
      <w:r w:rsidRPr="76D17F31">
        <w:rPr>
          <w:rFonts w:ascii="Times New Roman" w:hAnsi="Times New Roman" w:cs="Times New Roman"/>
          <w:sz w:val="28"/>
          <w:szCs w:val="28"/>
        </w:rPr>
        <w:t xml:space="preserve"> verification of the processed data. Preserving </w:t>
      </w:r>
      <w:r w:rsidRPr="76D17F31">
        <w:rPr>
          <w:rFonts w:ascii="Times New Roman" w:hAnsi="Times New Roman" w:cs="Times New Roman"/>
          <w:sz w:val="28"/>
          <w:szCs w:val="28"/>
        </w:rPr>
        <w:lastRenderedPageBreak/>
        <w:t xml:space="preserve">contextual integrity is essential </w:t>
      </w:r>
      <w:r w:rsidR="5ADD50F7" w:rsidRPr="76D17F31">
        <w:rPr>
          <w:rFonts w:ascii="Times New Roman" w:eastAsia="Times New Roman" w:hAnsi="Times New Roman" w:cs="Times New Roman"/>
          <w:sz w:val="28"/>
          <w:szCs w:val="28"/>
        </w:rPr>
        <w:t>when verifying</w:t>
      </w:r>
      <w:r w:rsidRPr="76D17F31">
        <w:rPr>
          <w:rFonts w:ascii="Times New Roman" w:hAnsi="Times New Roman" w:cs="Times New Roman"/>
          <w:sz w:val="28"/>
          <w:szCs w:val="28"/>
        </w:rPr>
        <w:t xml:space="preserve"> the </w:t>
      </w:r>
      <w:r w:rsidR="6D8703EF" w:rsidRPr="76D17F31">
        <w:rPr>
          <w:rFonts w:ascii="Times New Roman" w:hAnsi="Times New Roman" w:cs="Times New Roman"/>
          <w:sz w:val="28"/>
          <w:szCs w:val="28"/>
        </w:rPr>
        <w:t>credibility</w:t>
      </w:r>
      <w:r w:rsidRPr="76D17F31">
        <w:rPr>
          <w:rFonts w:ascii="Times New Roman" w:hAnsi="Times New Roman" w:cs="Times New Roman"/>
          <w:sz w:val="28"/>
          <w:szCs w:val="28"/>
        </w:rPr>
        <w:t xml:space="preserve"> of information, especially when it </w:t>
      </w:r>
      <w:r w:rsidR="5ADD50F7" w:rsidRPr="76D17F31">
        <w:rPr>
          <w:rFonts w:ascii="Times New Roman" w:eastAsia="Times New Roman" w:hAnsi="Times New Roman" w:cs="Times New Roman"/>
          <w:sz w:val="28"/>
          <w:szCs w:val="28"/>
        </w:rPr>
        <w:t>has been</w:t>
      </w:r>
      <w:r w:rsidRPr="76D17F31">
        <w:rPr>
          <w:rFonts w:ascii="Times New Roman" w:hAnsi="Times New Roman" w:cs="Times New Roman"/>
          <w:sz w:val="28"/>
          <w:szCs w:val="28"/>
        </w:rPr>
        <w:t xml:space="preserve"> collected </w:t>
      </w:r>
      <w:proofErr w:type="gramStart"/>
      <w:r w:rsidR="5ADD50F7" w:rsidRPr="76D17F31">
        <w:rPr>
          <w:rFonts w:ascii="Times New Roman" w:eastAsia="Times New Roman" w:hAnsi="Times New Roman" w:cs="Times New Roman"/>
          <w:sz w:val="28"/>
          <w:szCs w:val="28"/>
        </w:rPr>
        <w:t>in the course</w:t>
      </w:r>
      <w:r w:rsidRPr="76D17F31">
        <w:rPr>
          <w:rFonts w:ascii="Times New Roman" w:hAnsi="Times New Roman" w:cs="Times New Roman"/>
          <w:sz w:val="28"/>
          <w:szCs w:val="28"/>
        </w:rPr>
        <w:t xml:space="preserve"> of</w:t>
      </w:r>
      <w:proofErr w:type="gramEnd"/>
      <w:r w:rsidRPr="76D17F31">
        <w:rPr>
          <w:rFonts w:ascii="Times New Roman" w:hAnsi="Times New Roman" w:cs="Times New Roman"/>
          <w:sz w:val="28"/>
          <w:szCs w:val="28"/>
        </w:rPr>
        <w:t xml:space="preserve"> an investigation </w:t>
      </w:r>
      <w:r w:rsidR="279FFC42" w:rsidRPr="76D17F31">
        <w:rPr>
          <w:rFonts w:ascii="Times New Roman" w:hAnsi="Times New Roman" w:cs="Times New Roman"/>
          <w:sz w:val="28"/>
          <w:szCs w:val="28"/>
        </w:rPr>
        <w:t>(</w:t>
      </w:r>
      <w:r w:rsidR="7B3CCF31" w:rsidRPr="76D17F31">
        <w:rPr>
          <w:rFonts w:ascii="Times New Roman" w:hAnsi="Times New Roman" w:cs="Times New Roman"/>
          <w:sz w:val="28"/>
          <w:szCs w:val="28"/>
        </w:rPr>
        <w:t>Forgó et al. 2020</w:t>
      </w:r>
      <w:r w:rsidRPr="76D17F31">
        <w:rPr>
          <w:rFonts w:ascii="Times New Roman" w:hAnsi="Times New Roman" w:cs="Times New Roman"/>
          <w:sz w:val="28"/>
          <w:szCs w:val="28"/>
        </w:rPr>
        <w:t>, p. 383</w:t>
      </w:r>
      <w:r w:rsidR="58D82C8B" w:rsidRPr="76D17F31">
        <w:rPr>
          <w:rFonts w:ascii="Times New Roman" w:hAnsi="Times New Roman" w:cs="Times New Roman"/>
          <w:sz w:val="28"/>
          <w:szCs w:val="28"/>
        </w:rPr>
        <w:t>)</w:t>
      </w:r>
      <w:r w:rsidRPr="76D17F31">
        <w:rPr>
          <w:rFonts w:ascii="Times New Roman" w:hAnsi="Times New Roman" w:cs="Times New Roman"/>
          <w:sz w:val="28"/>
          <w:szCs w:val="28"/>
        </w:rPr>
        <w:t>. Adher</w:t>
      </w:r>
      <w:r w:rsidR="36918C92" w:rsidRPr="76D17F31">
        <w:rPr>
          <w:rFonts w:ascii="Times New Roman" w:eastAsia="Times New Roman" w:hAnsi="Times New Roman" w:cs="Times New Roman"/>
          <w:sz w:val="28"/>
          <w:szCs w:val="28"/>
        </w:rPr>
        <w:t xml:space="preserve">ing to a standardized system for describing datasets and their origin is also key to tracking potential data compromise during future aggregated analysis </w:t>
      </w:r>
      <w:r w:rsidR="6C0D6791" w:rsidRPr="76D17F31">
        <w:rPr>
          <w:rFonts w:ascii="Times New Roman" w:hAnsi="Times New Roman" w:cs="Times New Roman"/>
          <w:sz w:val="28"/>
          <w:szCs w:val="28"/>
        </w:rPr>
        <w:t>(Shanley et al. 2024</w:t>
      </w:r>
      <w:r w:rsidRPr="76D17F31">
        <w:rPr>
          <w:rFonts w:ascii="Times New Roman" w:hAnsi="Times New Roman" w:cs="Times New Roman"/>
          <w:sz w:val="28"/>
          <w:szCs w:val="28"/>
        </w:rPr>
        <w:t>, p. 2154</w:t>
      </w:r>
      <w:r w:rsidR="7572008F" w:rsidRPr="76D17F31">
        <w:rPr>
          <w:rFonts w:ascii="Times New Roman" w:hAnsi="Times New Roman" w:cs="Times New Roman"/>
          <w:sz w:val="28"/>
          <w:szCs w:val="28"/>
        </w:rPr>
        <w:t>)</w:t>
      </w:r>
      <w:r w:rsidRPr="76D17F31">
        <w:rPr>
          <w:rFonts w:ascii="Times New Roman" w:hAnsi="Times New Roman" w:cs="Times New Roman"/>
          <w:sz w:val="28"/>
          <w:szCs w:val="28"/>
        </w:rPr>
        <w:t>. As previously stated, privacy and data protection considerations are overriding within European law, and while law enforcement authorities enjoy certain exemptions, the development of shared datasets for sectoral purposes will fall within the generally applicable limitations of both the General Data Protection Regulation</w:t>
      </w:r>
      <w:r w:rsidR="007C29DD" w:rsidRPr="76D17F31">
        <w:rPr>
          <w:rFonts w:ascii="Times New Roman" w:hAnsi="Times New Roman" w:cs="Times New Roman"/>
          <w:sz w:val="28"/>
          <w:szCs w:val="28"/>
          <w:vertAlign w:val="superscript"/>
        </w:rPr>
        <w:t>11</w:t>
      </w:r>
      <w:r w:rsidRPr="76D17F31">
        <w:rPr>
          <w:rFonts w:ascii="Times New Roman" w:hAnsi="Times New Roman" w:cs="Times New Roman"/>
          <w:sz w:val="28"/>
          <w:szCs w:val="28"/>
        </w:rPr>
        <w:t xml:space="preserve"> and Directive (EU) 2016/</w:t>
      </w:r>
      <w:r w:rsidR="1B127DD4" w:rsidRPr="76D17F31">
        <w:rPr>
          <w:rFonts w:ascii="Times New Roman" w:hAnsi="Times New Roman" w:cs="Times New Roman"/>
          <w:sz w:val="28"/>
          <w:szCs w:val="28"/>
        </w:rPr>
        <w:t>680</w:t>
      </w:r>
      <w:r w:rsidR="00C01742" w:rsidRPr="00C01742">
        <w:rPr>
          <w:rFonts w:ascii="Times New Roman" w:hAnsi="Times New Roman" w:cs="Times New Roman"/>
          <w:sz w:val="28"/>
          <w:szCs w:val="28"/>
          <w:vertAlign w:val="superscript"/>
        </w:rPr>
        <w:t>12</w:t>
      </w:r>
      <w:r w:rsidRPr="76D17F31">
        <w:rPr>
          <w:rFonts w:ascii="Times New Roman" w:hAnsi="Times New Roman" w:cs="Times New Roman"/>
          <w:sz w:val="28"/>
          <w:szCs w:val="28"/>
        </w:rPr>
        <w:t xml:space="preserve">. </w:t>
      </w:r>
      <w:r w:rsidRPr="76D17F31">
        <w:rPr>
          <w:rFonts w:ascii="Times New Roman" w:eastAsia="Times New Roman" w:hAnsi="Times New Roman" w:cs="Times New Roman"/>
          <w:sz w:val="28"/>
          <w:szCs w:val="28"/>
        </w:rPr>
        <w:t xml:space="preserve">Thus, </w:t>
      </w:r>
      <w:r w:rsidR="0D406648" w:rsidRPr="76D17F31">
        <w:rPr>
          <w:rFonts w:ascii="Times New Roman" w:eastAsia="Times New Roman" w:hAnsi="Times New Roman" w:cs="Times New Roman"/>
          <w:sz w:val="28"/>
          <w:szCs w:val="28"/>
        </w:rPr>
        <w:t>within</w:t>
      </w:r>
      <w:r w:rsidRPr="76D17F31">
        <w:rPr>
          <w:rFonts w:ascii="Times New Roman" w:eastAsia="Times New Roman" w:hAnsi="Times New Roman" w:cs="Times New Roman"/>
          <w:sz w:val="28"/>
          <w:szCs w:val="28"/>
        </w:rPr>
        <w:t xml:space="preserve"> the framework of the </w:t>
      </w:r>
      <w:r w:rsidR="0D406648" w:rsidRPr="76D17F31">
        <w:rPr>
          <w:rFonts w:ascii="Times New Roman" w:eastAsia="Times New Roman" w:hAnsi="Times New Roman" w:cs="Times New Roman"/>
          <w:sz w:val="28"/>
          <w:szCs w:val="28"/>
        </w:rPr>
        <w:t>TESSERA</w:t>
      </w:r>
      <w:r w:rsidR="00E87037" w:rsidRPr="00E87037">
        <w:rPr>
          <w:rFonts w:ascii="Times New Roman" w:eastAsia="Times New Roman" w:hAnsi="Times New Roman" w:cs="Times New Roman"/>
          <w:sz w:val="28"/>
          <w:szCs w:val="28"/>
          <w:vertAlign w:val="superscript"/>
        </w:rPr>
        <w:t>13</w:t>
      </w:r>
      <w:r w:rsidRPr="76D17F31">
        <w:rPr>
          <w:rFonts w:ascii="Times New Roman" w:eastAsia="Times New Roman" w:hAnsi="Times New Roman" w:cs="Times New Roman"/>
          <w:sz w:val="28"/>
          <w:szCs w:val="28"/>
        </w:rPr>
        <w:t xml:space="preserve"> </w:t>
      </w:r>
      <w:r w:rsidR="493B3191" w:rsidRPr="76D17F31">
        <w:rPr>
          <w:rFonts w:ascii="Times New Roman" w:eastAsia="Times New Roman" w:hAnsi="Times New Roman" w:cs="Times New Roman"/>
          <w:sz w:val="28"/>
          <w:szCs w:val="28"/>
        </w:rPr>
        <w:t>project,</w:t>
      </w:r>
      <w:r w:rsidRPr="76D17F31">
        <w:rPr>
          <w:rFonts w:ascii="Times New Roman" w:eastAsia="Times New Roman" w:hAnsi="Times New Roman" w:cs="Times New Roman"/>
          <w:sz w:val="28"/>
          <w:szCs w:val="28"/>
        </w:rPr>
        <w:t xml:space="preserve"> in which the Law and Internet Foundation is </w:t>
      </w:r>
      <w:r w:rsidR="0D406648" w:rsidRPr="76D17F31">
        <w:rPr>
          <w:rFonts w:ascii="Times New Roman" w:eastAsia="Times New Roman" w:hAnsi="Times New Roman" w:cs="Times New Roman"/>
          <w:sz w:val="28"/>
          <w:szCs w:val="28"/>
        </w:rPr>
        <w:t>a participant, a key</w:t>
      </w:r>
      <w:r w:rsidRPr="76D17F31">
        <w:rPr>
          <w:rFonts w:ascii="Times New Roman" w:eastAsia="Times New Roman" w:hAnsi="Times New Roman" w:cs="Times New Roman"/>
          <w:sz w:val="28"/>
          <w:szCs w:val="28"/>
        </w:rPr>
        <w:t xml:space="preserve"> objective is to define the requirements for interoperability and the ability to share datasets for </w:t>
      </w:r>
      <w:r w:rsidR="0D406648" w:rsidRPr="76D17F31">
        <w:rPr>
          <w:rFonts w:ascii="Times New Roman" w:eastAsia="Times New Roman" w:hAnsi="Times New Roman" w:cs="Times New Roman"/>
          <w:sz w:val="28"/>
          <w:szCs w:val="28"/>
        </w:rPr>
        <w:t xml:space="preserve">the needs of </w:t>
      </w:r>
      <w:r w:rsidRPr="76D17F31">
        <w:rPr>
          <w:rFonts w:ascii="Times New Roman" w:eastAsia="Times New Roman" w:hAnsi="Times New Roman" w:cs="Times New Roman"/>
          <w:sz w:val="28"/>
          <w:szCs w:val="28"/>
        </w:rPr>
        <w:t xml:space="preserve">law enforcement </w:t>
      </w:r>
      <w:r w:rsidR="0D406648" w:rsidRPr="76D17F31">
        <w:rPr>
          <w:rFonts w:ascii="Times New Roman" w:eastAsia="Times New Roman" w:hAnsi="Times New Roman" w:cs="Times New Roman"/>
          <w:sz w:val="28"/>
          <w:szCs w:val="28"/>
        </w:rPr>
        <w:t>authorities</w:t>
      </w:r>
      <w:r w:rsidRPr="76D17F31">
        <w:rPr>
          <w:rFonts w:ascii="Times New Roman" w:eastAsia="Times New Roman" w:hAnsi="Times New Roman" w:cs="Times New Roman"/>
          <w:sz w:val="28"/>
          <w:szCs w:val="28"/>
        </w:rPr>
        <w:t xml:space="preserve">, as well as to </w:t>
      </w:r>
      <w:r w:rsidR="0D406648" w:rsidRPr="76D17F31">
        <w:rPr>
          <w:rFonts w:ascii="Times New Roman" w:eastAsia="Times New Roman" w:hAnsi="Times New Roman" w:cs="Times New Roman"/>
          <w:sz w:val="28"/>
          <w:szCs w:val="28"/>
        </w:rPr>
        <w:t>provide</w:t>
      </w:r>
      <w:r w:rsidRPr="76D17F31">
        <w:rPr>
          <w:rFonts w:ascii="Times New Roman" w:eastAsia="Times New Roman" w:hAnsi="Times New Roman" w:cs="Times New Roman"/>
          <w:sz w:val="28"/>
          <w:szCs w:val="28"/>
        </w:rPr>
        <w:t xml:space="preserve"> recommendations on the introduction of new policies in the field.</w:t>
      </w:r>
      <w:r w:rsidR="00163FE0" w:rsidRPr="76D17F31">
        <w:rPr>
          <w:rFonts w:ascii="Times New Roman" w:eastAsia="Times New Roman" w:hAnsi="Times New Roman" w:cs="Times New Roman"/>
          <w:sz w:val="28"/>
          <w:szCs w:val="28"/>
        </w:rPr>
        <w:t xml:space="preserve"> </w:t>
      </w:r>
      <w:r w:rsidR="3CCB85FA" w:rsidRPr="76D17F31">
        <w:rPr>
          <w:rFonts w:ascii="Times New Roman" w:eastAsia="Times New Roman" w:hAnsi="Times New Roman" w:cs="Times New Roman"/>
          <w:sz w:val="28"/>
          <w:szCs w:val="28"/>
        </w:rPr>
        <w:t xml:space="preserve">The challenges related to defining data categories and developing technological models capable of working with them clearly highlight the need for further advancement of </w:t>
      </w:r>
      <w:proofErr w:type="spellStart"/>
      <w:r w:rsidR="3CCB85FA" w:rsidRPr="76D17F31">
        <w:rPr>
          <w:rFonts w:ascii="Times New Roman" w:eastAsia="Times New Roman" w:hAnsi="Times New Roman" w:cs="Times New Roman"/>
          <w:sz w:val="28"/>
          <w:szCs w:val="28"/>
        </w:rPr>
        <w:t>harmonised</w:t>
      </w:r>
      <w:proofErr w:type="spellEnd"/>
      <w:r w:rsidR="3CCB85FA" w:rsidRPr="76D17F31">
        <w:rPr>
          <w:rFonts w:ascii="Times New Roman" w:eastAsia="Times New Roman" w:hAnsi="Times New Roman" w:cs="Times New Roman"/>
          <w:sz w:val="28"/>
          <w:szCs w:val="28"/>
        </w:rPr>
        <w:t xml:space="preserve"> legislation within the third pillar, </w:t>
      </w:r>
      <w:proofErr w:type="gramStart"/>
      <w:r w:rsidR="3CCB85FA" w:rsidRPr="76D17F31">
        <w:rPr>
          <w:rFonts w:ascii="Times New Roman" w:eastAsia="Times New Roman" w:hAnsi="Times New Roman" w:cs="Times New Roman"/>
          <w:sz w:val="28"/>
          <w:szCs w:val="28"/>
        </w:rPr>
        <w:t>in order to</w:t>
      </w:r>
      <w:proofErr w:type="gramEnd"/>
      <w:r w:rsidR="3CCB85FA" w:rsidRPr="76D17F31">
        <w:rPr>
          <w:rFonts w:ascii="Times New Roman" w:eastAsia="Times New Roman" w:hAnsi="Times New Roman" w:cs="Times New Roman"/>
          <w:sz w:val="28"/>
          <w:szCs w:val="28"/>
        </w:rPr>
        <w:t xml:space="preserve"> enable the creation of interconnections between datasets rather than generating 'digital waste'</w:t>
      </w:r>
      <w:r w:rsidR="00E87037" w:rsidRPr="00E87037">
        <w:rPr>
          <w:rFonts w:ascii="Times New Roman" w:eastAsia="Times New Roman" w:hAnsi="Times New Roman" w:cs="Times New Roman"/>
          <w:sz w:val="28"/>
          <w:szCs w:val="28"/>
          <w:vertAlign w:val="superscript"/>
        </w:rPr>
        <w:t>14</w:t>
      </w:r>
      <w:r w:rsidR="3CCB85FA" w:rsidRPr="76D17F31">
        <w:rPr>
          <w:rFonts w:ascii="Times New Roman" w:eastAsia="Times New Roman" w:hAnsi="Times New Roman" w:cs="Times New Roman"/>
          <w:sz w:val="28"/>
          <w:szCs w:val="28"/>
        </w:rPr>
        <w:t xml:space="preserve"> from unsupported and unlinked data collections. </w:t>
      </w:r>
    </w:p>
    <w:p w14:paraId="27A64D88" w14:textId="526EF2A6" w:rsidR="44ADC9C2" w:rsidRDefault="44ADC9C2" w:rsidP="76D17F31">
      <w:pPr>
        <w:spacing w:line="278" w:lineRule="auto"/>
        <w:ind w:firstLine="720"/>
        <w:jc w:val="both"/>
      </w:pPr>
      <w:r w:rsidRPr="76D17F31">
        <w:rPr>
          <w:rFonts w:ascii="Times New Roman" w:eastAsia="Times New Roman" w:hAnsi="Times New Roman" w:cs="Times New Roman"/>
          <w:sz w:val="28"/>
          <w:szCs w:val="28"/>
        </w:rPr>
        <w:t>In conclusion, the legal and strategic framework for data use in the EU is rapidly evolving in its effort to position the Union as a leader in innovation. However, this dynamic often necessitates the adoption of numerous secondary legislative acts to ensure the correct application of the provisions and, at times, raises concerns about the industry's ability to respond promptly and sustain a comparable level of innovation. Nevertheless, the planned development of the Common European Data Spaces offers significant opportunities for advancing sectoral policies and establishing data handling standards aligned with the needs of sectors such as freedom, security, and justice</w:t>
      </w:r>
    </w:p>
    <w:p w14:paraId="4CA710D2" w14:textId="1E25F299" w:rsidR="004A752E" w:rsidRDefault="004A752E" w:rsidP="000078A3">
      <w:pPr>
        <w:jc w:val="both"/>
        <w:rPr>
          <w:rFonts w:ascii="Times New Roman" w:hAnsi="Times New Roman" w:cs="Times New Roman"/>
          <w:sz w:val="28"/>
          <w:szCs w:val="28"/>
        </w:rPr>
      </w:pPr>
    </w:p>
    <w:sdt>
      <w:sdtPr>
        <w:rPr>
          <w:rFonts w:ascii="Times New Roman" w:hAnsi="Times New Roman" w:cs="Times New Roman"/>
          <w:color w:val="467886" w:themeColor="hyperlink"/>
          <w:u w:val="single"/>
        </w:rPr>
        <w:id w:val="1207603527"/>
        <w:docPartObj>
          <w:docPartGallery w:val="Bibliographies"/>
          <w:docPartUnique/>
        </w:docPartObj>
      </w:sdtPr>
      <w:sdtEndPr>
        <w:rPr>
          <w:color w:val="auto"/>
        </w:rPr>
      </w:sdtEndPr>
      <w:sdtContent>
        <w:p w14:paraId="44667ECD" w14:textId="042D25A2" w:rsidR="27C980A8" w:rsidRDefault="27C980A8" w:rsidP="27C980A8">
          <w:pPr>
            <w:jc w:val="both"/>
            <w:rPr>
              <w:rFonts w:ascii="Times New Roman" w:hAnsi="Times New Roman" w:cs="Times New Roman"/>
            </w:rPr>
          </w:pPr>
        </w:p>
        <w:p w14:paraId="6DB8DE36" w14:textId="4B543BAF" w:rsidR="57AEB7FA" w:rsidRDefault="57AEB7FA" w:rsidP="343AC019">
          <w:pPr>
            <w:jc w:val="both"/>
            <w:rPr>
              <w:rFonts w:ascii="Times New Roman" w:hAnsi="Times New Roman" w:cs="Times New Roman"/>
              <w:b/>
              <w:bCs/>
            </w:rPr>
          </w:pPr>
          <w:r w:rsidRPr="343AC019">
            <w:rPr>
              <w:rFonts w:ascii="Times New Roman" w:hAnsi="Times New Roman" w:cs="Times New Roman"/>
              <w:b/>
              <w:bCs/>
            </w:rPr>
            <w:t>FOOTNOTES:</w:t>
          </w:r>
        </w:p>
        <w:p w14:paraId="73CB7A75" w14:textId="55AFF99B" w:rsidR="00C95806" w:rsidRPr="00C95806" w:rsidRDefault="00C95806" w:rsidP="27C980A8">
          <w:pPr>
            <w:jc w:val="both"/>
            <w:rPr>
              <w:rFonts w:ascii="Times New Roman" w:eastAsia="Times New Roman" w:hAnsi="Times New Roman" w:cs="Times New Roman"/>
              <w:lang w:val="en"/>
            </w:rPr>
          </w:pPr>
          <w:r w:rsidRPr="343AC019">
            <w:rPr>
              <w:rFonts w:ascii="Times New Roman" w:hAnsi="Times New Roman" w:cs="Times New Roman"/>
            </w:rPr>
            <w:t>1.</w:t>
          </w:r>
          <w:r w:rsidR="6B419ADC" w:rsidRPr="343AC019">
            <w:rPr>
              <w:rFonts w:ascii="Times New Roman" w:hAnsi="Times New Roman" w:cs="Times New Roman"/>
            </w:rPr>
            <w:t xml:space="preserve"> </w:t>
          </w:r>
          <w:r w:rsidRPr="343AC019">
            <w:rPr>
              <w:rFonts w:ascii="Times New Roman" w:eastAsia="Times New Roman" w:hAnsi="Times New Roman" w:cs="Times New Roman"/>
              <w:b/>
              <w:bCs/>
              <w:lang w:val="en"/>
            </w:rPr>
            <w:t>COMMUNICATION FROM THE COMMISSION</w:t>
          </w:r>
          <w:r w:rsidRPr="343AC019">
            <w:rPr>
              <w:rFonts w:ascii="Times New Roman" w:eastAsia="Times New Roman" w:hAnsi="Times New Roman" w:cs="Times New Roman"/>
              <w:lang w:val="en"/>
            </w:rPr>
            <w:t xml:space="preserve"> TO THE EUROPEAN PARLIAMENT, THE COUNCIL, THE EUROPEAN ECONOMIC AND SOCIAL COMMITTEE AND THE </w:t>
          </w:r>
          <w:r w:rsidRPr="343AC019">
            <w:rPr>
              <w:rFonts w:ascii="Times New Roman" w:eastAsia="Times New Roman" w:hAnsi="Times New Roman" w:cs="Times New Roman"/>
              <w:lang w:val="en"/>
            </w:rPr>
            <w:lastRenderedPageBreak/>
            <w:t xml:space="preserve">COMMITTEE OF THE </w:t>
          </w:r>
          <w:proofErr w:type="gramStart"/>
          <w:r w:rsidRPr="343AC019">
            <w:rPr>
              <w:rFonts w:ascii="Times New Roman" w:eastAsia="Times New Roman" w:hAnsi="Times New Roman" w:cs="Times New Roman"/>
              <w:lang w:val="en"/>
            </w:rPr>
            <w:t>REGIONS ”A</w:t>
          </w:r>
          <w:proofErr w:type="gramEnd"/>
          <w:r w:rsidRPr="343AC019">
            <w:rPr>
              <w:rFonts w:ascii="Times New Roman" w:eastAsia="Times New Roman" w:hAnsi="Times New Roman" w:cs="Times New Roman"/>
              <w:lang w:val="en"/>
            </w:rPr>
            <w:t xml:space="preserve"> European strategy for data”, COM/2020/66 final, 19.02.2020, Brussels</w:t>
          </w:r>
        </w:p>
        <w:p w14:paraId="16BE332B" w14:textId="2773B940" w:rsidR="00C95806" w:rsidRPr="008C2955" w:rsidRDefault="00C95806" w:rsidP="00C95806">
          <w:pPr>
            <w:shd w:val="clear" w:color="auto" w:fill="FFFFFF" w:themeFill="background1"/>
            <w:spacing w:after="75"/>
            <w:jc w:val="both"/>
            <w:rPr>
              <w:rFonts w:ascii="Times New Roman" w:eastAsia="Times New Roman" w:hAnsi="Times New Roman" w:cs="Times New Roman"/>
              <w:i/>
              <w:iCs/>
            </w:rPr>
          </w:pPr>
          <w:r>
            <w:rPr>
              <w:rFonts w:ascii="Times New Roman" w:eastAsia="Times New Roman" w:hAnsi="Times New Roman" w:cs="Times New Roman"/>
            </w:rPr>
            <w:t>2</w:t>
          </w:r>
          <w:r w:rsidRPr="188666AD">
            <w:rPr>
              <w:rFonts w:ascii="Times New Roman" w:eastAsia="Times New Roman" w:hAnsi="Times New Roman" w:cs="Times New Roman"/>
            </w:rPr>
            <w:t xml:space="preserve">. </w:t>
          </w:r>
          <w:r w:rsidRPr="188666AD">
            <w:rPr>
              <w:rFonts w:ascii="Times New Roman" w:eastAsia="Times New Roman" w:hAnsi="Times New Roman" w:cs="Times New Roman"/>
              <w:b/>
              <w:bCs/>
            </w:rPr>
            <w:t xml:space="preserve">Regulation (EU) 2024/903 </w:t>
          </w:r>
          <w:r w:rsidRPr="188666AD">
            <w:rPr>
              <w:rFonts w:ascii="Times New Roman" w:eastAsia="Times New Roman" w:hAnsi="Times New Roman" w:cs="Times New Roman"/>
            </w:rPr>
            <w:t xml:space="preserve">of the European Parliament and of the Council of 13 March 2024 laying down measures for a high level of public sector interoperability across the Union (Interoperable Europe Act), </w:t>
          </w:r>
          <w:r w:rsidRPr="188666AD">
            <w:rPr>
              <w:rFonts w:ascii="Times New Roman" w:eastAsia="Times New Roman" w:hAnsi="Times New Roman" w:cs="Times New Roman"/>
              <w:i/>
              <w:iCs/>
            </w:rPr>
            <w:t>OJ L, 2024/903, 22.3.2024</w:t>
          </w:r>
        </w:p>
        <w:p w14:paraId="40E7C6B0" w14:textId="500A0D37" w:rsidR="00C95806" w:rsidRDefault="00432846" w:rsidP="188666AD">
          <w:pPr>
            <w:shd w:val="clear" w:color="auto" w:fill="FFFFFF" w:themeFill="background1"/>
            <w:spacing w:after="75"/>
            <w:jc w:val="both"/>
            <w:rPr>
              <w:rFonts w:ascii="Times New Roman" w:hAnsi="Times New Roman" w:cs="Times New Roman"/>
            </w:rPr>
          </w:pPr>
          <w:r w:rsidRPr="00432846">
            <w:rPr>
              <w:rFonts w:ascii="Times New Roman" w:hAnsi="Times New Roman" w:cs="Times New Roman"/>
            </w:rPr>
            <w:t xml:space="preserve">3. </w:t>
          </w:r>
          <w:r w:rsidRPr="00432846">
            <w:rPr>
              <w:rFonts w:ascii="Times New Roman" w:hAnsi="Times New Roman" w:cs="Times New Roman"/>
              <w:b/>
              <w:bCs/>
            </w:rPr>
            <w:t>EU Innovation Hub for Internal Security</w:t>
          </w:r>
          <w:r w:rsidRPr="00432846">
            <w:rPr>
              <w:rFonts w:ascii="Times New Roman" w:hAnsi="Times New Roman" w:cs="Times New Roman"/>
            </w:rPr>
            <w:t>. Europol, [online], 04.06.2024. Available on: https://www.europol.europa.eu/operations-services-innovation/ innovation-lab/</w:t>
          </w:r>
          <w:proofErr w:type="spellStart"/>
          <w:r w:rsidRPr="00432846">
            <w:rPr>
              <w:rFonts w:ascii="Times New Roman" w:hAnsi="Times New Roman" w:cs="Times New Roman"/>
            </w:rPr>
            <w:t>eu</w:t>
          </w:r>
          <w:proofErr w:type="spellEnd"/>
          <w:r w:rsidRPr="00432846">
            <w:rPr>
              <w:rFonts w:ascii="Times New Roman" w:hAnsi="Times New Roman" w:cs="Times New Roman"/>
            </w:rPr>
            <w:t>-innovation-hub-for-internal-security</w:t>
          </w:r>
        </w:p>
        <w:p w14:paraId="470CAC01" w14:textId="4CD0CAFB" w:rsidR="00A77F96" w:rsidRDefault="00631338" w:rsidP="00A77F96">
          <w:pPr>
            <w:jc w:val="both"/>
            <w:rPr>
              <w:rFonts w:ascii="Times New Roman" w:eastAsia="Times New Roman" w:hAnsi="Times New Roman" w:cs="Times New Roman"/>
            </w:rPr>
          </w:pPr>
          <w:r>
            <w:rPr>
              <w:rFonts w:ascii="Times New Roman" w:hAnsi="Times New Roman" w:cs="Times New Roman"/>
            </w:rPr>
            <w:t>4.</w:t>
          </w:r>
          <w:r w:rsidR="00A77F96" w:rsidRPr="00A77F96">
            <w:rPr>
              <w:rFonts w:ascii="Times New Roman" w:hAnsi="Times New Roman" w:cs="Times New Roman"/>
            </w:rPr>
            <w:t xml:space="preserve"> </w:t>
          </w:r>
          <w:r w:rsidR="00A77F96" w:rsidRPr="188666AD">
            <w:rPr>
              <w:rFonts w:ascii="Times New Roman" w:eastAsia="Times New Roman" w:hAnsi="Times New Roman" w:cs="Times New Roman"/>
              <w:b/>
              <w:bCs/>
              <w:lang w:val="en"/>
            </w:rPr>
            <w:t>COMMUNICATION FROM THE COMMISSION</w:t>
          </w:r>
          <w:r w:rsidR="00A77F96" w:rsidRPr="188666AD">
            <w:rPr>
              <w:rFonts w:ascii="Times New Roman" w:eastAsia="Times New Roman" w:hAnsi="Times New Roman" w:cs="Times New Roman"/>
              <w:lang w:val="en"/>
            </w:rPr>
            <w:t xml:space="preserve"> TO THE EUROPEAN PARLIAMENT, THE COUNCIL, THE EUROPEAN ECONOMIC AND SOCIAL COMMITTEE AND THE COMMITTEE OF THE REGIONS ”A European strategy for data”, COM/2020/66 final, 19.02.2020, Brussels</w:t>
          </w:r>
          <w:r w:rsidR="00A77F96">
            <w:rPr>
              <w:rFonts w:ascii="Times New Roman" w:eastAsia="Times New Roman" w:hAnsi="Times New Roman" w:cs="Times New Roman"/>
              <w:lang w:val="en"/>
            </w:rPr>
            <w:t xml:space="preserve">; </w:t>
          </w:r>
          <w:r w:rsidR="00A77F96" w:rsidRPr="188666AD">
            <w:rPr>
              <w:rFonts w:ascii="Times New Roman" w:eastAsia="Times New Roman" w:hAnsi="Times New Roman" w:cs="Times New Roman"/>
              <w:b/>
              <w:bCs/>
            </w:rPr>
            <w:t>COMMUNICATION FROM THE COMMISSION</w:t>
          </w:r>
          <w:r w:rsidR="00A77F96" w:rsidRPr="188666AD">
            <w:rPr>
              <w:rFonts w:ascii="Times New Roman" w:eastAsia="Times New Roman" w:hAnsi="Times New Roman" w:cs="Times New Roman"/>
            </w:rPr>
            <w:t xml:space="preserve"> TO THE EUROPEAN PARLIAMENT, THE COUNCIL, THE EUROPEAN ECONOMIC AND SOCIAL COMMITTEE AND THE COMMITTEE OF THE REGIONS ”Action Plan on synergies between civil, </w:t>
          </w:r>
          <w:proofErr w:type="spellStart"/>
          <w:r w:rsidR="00A77F96" w:rsidRPr="188666AD">
            <w:rPr>
              <w:rFonts w:ascii="Times New Roman" w:eastAsia="Times New Roman" w:hAnsi="Times New Roman" w:cs="Times New Roman"/>
            </w:rPr>
            <w:t>defence</w:t>
          </w:r>
          <w:proofErr w:type="spellEnd"/>
          <w:r w:rsidR="00A77F96" w:rsidRPr="188666AD">
            <w:rPr>
              <w:rFonts w:ascii="Times New Roman" w:eastAsia="Times New Roman" w:hAnsi="Times New Roman" w:cs="Times New Roman"/>
            </w:rPr>
            <w:t xml:space="preserve"> and space industries”, COM/2021/70 final, 22.02.2021, Brussels</w:t>
          </w:r>
        </w:p>
        <w:p w14:paraId="18DCDA9F" w14:textId="393CD43F" w:rsidR="00631338" w:rsidRPr="00691BD0" w:rsidRDefault="00691BD0" w:rsidP="188666AD">
          <w:pPr>
            <w:shd w:val="clear" w:color="auto" w:fill="FFFFFF" w:themeFill="background1"/>
            <w:spacing w:after="75"/>
            <w:jc w:val="both"/>
            <w:rPr>
              <w:rFonts w:ascii="Times New Roman" w:eastAsia="Times New Roman" w:hAnsi="Times New Roman" w:cs="Times New Roman"/>
              <w:i/>
              <w:iCs/>
            </w:rPr>
          </w:pPr>
          <w:r>
            <w:rPr>
              <w:rFonts w:ascii="Times New Roman" w:eastAsia="Times New Roman" w:hAnsi="Times New Roman" w:cs="Times New Roman"/>
            </w:rPr>
            <w:t>5</w:t>
          </w:r>
          <w:r w:rsidRPr="188666AD">
            <w:rPr>
              <w:rFonts w:ascii="Times New Roman" w:eastAsia="Times New Roman" w:hAnsi="Times New Roman" w:cs="Times New Roman"/>
            </w:rPr>
            <w:t xml:space="preserve">. </w:t>
          </w:r>
          <w:r w:rsidRPr="188666AD">
            <w:rPr>
              <w:rFonts w:ascii="Times New Roman" w:eastAsia="Times New Roman" w:hAnsi="Times New Roman" w:cs="Times New Roman"/>
              <w:b/>
              <w:bCs/>
            </w:rPr>
            <w:t xml:space="preserve">European Parliament resolution </w:t>
          </w:r>
          <w:r w:rsidRPr="188666AD">
            <w:rPr>
              <w:rFonts w:ascii="Times New Roman" w:eastAsia="Times New Roman" w:hAnsi="Times New Roman" w:cs="Times New Roman"/>
            </w:rPr>
            <w:t xml:space="preserve">of 14 March 2017 on fundamental rights implications of big data: privacy, data protection, non-discrimination, security and law-enforcement (2016/2225(INI)), </w:t>
          </w:r>
          <w:r w:rsidRPr="188666AD">
            <w:rPr>
              <w:rFonts w:ascii="Times New Roman" w:eastAsia="Times New Roman" w:hAnsi="Times New Roman" w:cs="Times New Roman"/>
              <w:i/>
              <w:iCs/>
            </w:rPr>
            <w:t>OJ C 263, 25.7.2018, p. 82–89</w:t>
          </w:r>
        </w:p>
        <w:p w14:paraId="33AAE1C8" w14:textId="1A3A45FD" w:rsidR="004D2AD0" w:rsidRPr="008C2955" w:rsidRDefault="004D2AD0" w:rsidP="004D2AD0">
          <w:pPr>
            <w:shd w:val="clear" w:color="auto" w:fill="FFFFFF" w:themeFill="background1"/>
            <w:spacing w:after="75"/>
            <w:jc w:val="both"/>
            <w:rPr>
              <w:rFonts w:ascii="Times New Roman" w:eastAsia="Times New Roman" w:hAnsi="Times New Roman" w:cs="Times New Roman"/>
              <w:i/>
              <w:iCs/>
            </w:rPr>
          </w:pPr>
          <w:r>
            <w:rPr>
              <w:rFonts w:ascii="Times New Roman" w:eastAsia="Times New Roman" w:hAnsi="Times New Roman" w:cs="Times New Roman"/>
            </w:rPr>
            <w:t>6</w:t>
          </w:r>
          <w:r w:rsidRPr="188666AD">
            <w:rPr>
              <w:rFonts w:ascii="Times New Roman" w:eastAsia="Times New Roman" w:hAnsi="Times New Roman" w:cs="Times New Roman"/>
            </w:rPr>
            <w:t xml:space="preserve">. </w:t>
          </w:r>
          <w:r w:rsidRPr="188666AD">
            <w:rPr>
              <w:rFonts w:ascii="Times New Roman" w:eastAsia="Times New Roman" w:hAnsi="Times New Roman" w:cs="Times New Roman"/>
              <w:b/>
              <w:bCs/>
            </w:rPr>
            <w:t xml:space="preserve">Directive (EU) 2019/1024 </w:t>
          </w:r>
          <w:r w:rsidRPr="188666AD">
            <w:rPr>
              <w:rFonts w:ascii="Times New Roman" w:eastAsia="Times New Roman" w:hAnsi="Times New Roman" w:cs="Times New Roman"/>
            </w:rPr>
            <w:t xml:space="preserve">of the European Parliament and of the Council of 20 June 2019 on open data and the re-use of public sector information (recast), </w:t>
          </w:r>
          <w:r w:rsidRPr="188666AD">
            <w:rPr>
              <w:rFonts w:ascii="Times New Roman" w:eastAsia="Times New Roman" w:hAnsi="Times New Roman" w:cs="Times New Roman"/>
              <w:i/>
              <w:iCs/>
            </w:rPr>
            <w:t>OJ L 172, 26.6.2019, p. 56–83</w:t>
          </w:r>
        </w:p>
        <w:p w14:paraId="5DC377A8" w14:textId="33A36138" w:rsidR="00691BD0" w:rsidRDefault="004D2AD0" w:rsidP="188666AD">
          <w:pPr>
            <w:shd w:val="clear" w:color="auto" w:fill="FFFFFF" w:themeFill="background1"/>
            <w:spacing w:after="75"/>
            <w:jc w:val="both"/>
            <w:rPr>
              <w:rFonts w:ascii="Times New Roman" w:hAnsi="Times New Roman" w:cs="Times New Roman"/>
            </w:rPr>
          </w:pPr>
          <w:r w:rsidRPr="004D2AD0">
            <w:rPr>
              <w:rFonts w:ascii="Times New Roman" w:hAnsi="Times New Roman" w:cs="Times New Roman"/>
            </w:rPr>
            <w:t>7. Open Definition: Defining Open in Open Data, Open Content and Open Knowledge. Open Knowledge Foundation, [online]. Available on: https://opendefinition. org/od/2.1/</w:t>
          </w:r>
          <w:proofErr w:type="spellStart"/>
          <w:r w:rsidRPr="004D2AD0">
            <w:rPr>
              <w:rFonts w:ascii="Times New Roman" w:hAnsi="Times New Roman" w:cs="Times New Roman"/>
            </w:rPr>
            <w:t>en</w:t>
          </w:r>
          <w:proofErr w:type="spellEnd"/>
        </w:p>
        <w:p w14:paraId="6DE18500" w14:textId="15C4DAD7" w:rsidR="003C6F6C" w:rsidRDefault="003C6F6C" w:rsidP="188666AD">
          <w:pPr>
            <w:shd w:val="clear" w:color="auto" w:fill="FFFFFF" w:themeFill="background1"/>
            <w:spacing w:after="75"/>
            <w:jc w:val="both"/>
            <w:rPr>
              <w:rFonts w:ascii="Times New Roman" w:hAnsi="Times New Roman" w:cs="Times New Roman"/>
            </w:rPr>
          </w:pPr>
          <w:r w:rsidRPr="343AC019">
            <w:rPr>
              <w:rFonts w:ascii="Times New Roman" w:hAnsi="Times New Roman" w:cs="Times New Roman"/>
            </w:rPr>
            <w:t xml:space="preserve">8. See more at </w:t>
          </w:r>
          <w:r w:rsidR="4C0D3F07" w:rsidRPr="343AC019">
            <w:rPr>
              <w:rFonts w:ascii="Times New Roman" w:hAnsi="Times New Roman" w:cs="Times New Roman"/>
            </w:rPr>
            <w:t>address</w:t>
          </w:r>
          <w:r w:rsidRPr="343AC019">
            <w:rPr>
              <w:rFonts w:ascii="Times New Roman" w:hAnsi="Times New Roman" w:cs="Times New Roman"/>
            </w:rPr>
            <w:t>: https://public.resource.org/8_principles.html</w:t>
          </w:r>
        </w:p>
        <w:p w14:paraId="5C39275C" w14:textId="40AD5FEE" w:rsidR="00424465" w:rsidRPr="003C6F6C" w:rsidRDefault="003C6F6C" w:rsidP="188666AD">
          <w:pPr>
            <w:shd w:val="clear" w:color="auto" w:fill="FFFFFF" w:themeFill="background1"/>
            <w:spacing w:after="75"/>
            <w:jc w:val="both"/>
            <w:rPr>
              <w:rFonts w:ascii="Times New Roman" w:eastAsia="Times New Roman" w:hAnsi="Times New Roman" w:cs="Times New Roman"/>
              <w:i/>
              <w:iCs/>
            </w:rPr>
          </w:pPr>
          <w:r>
            <w:rPr>
              <w:rFonts w:ascii="Times New Roman" w:eastAsia="Times New Roman" w:hAnsi="Times New Roman" w:cs="Times New Roman"/>
            </w:rPr>
            <w:t>9</w:t>
          </w:r>
          <w:r w:rsidR="00424465" w:rsidRPr="188666AD">
            <w:rPr>
              <w:rFonts w:ascii="Times New Roman" w:eastAsia="Times New Roman" w:hAnsi="Times New Roman" w:cs="Times New Roman"/>
            </w:rPr>
            <w:t xml:space="preserve">. </w:t>
          </w:r>
          <w:r w:rsidR="00424465" w:rsidRPr="188666AD">
            <w:rPr>
              <w:rFonts w:ascii="Times New Roman" w:eastAsia="Times New Roman" w:hAnsi="Times New Roman" w:cs="Times New Roman"/>
              <w:b/>
              <w:bCs/>
            </w:rPr>
            <w:t xml:space="preserve">Directive (EU) 2019/1024 </w:t>
          </w:r>
          <w:r w:rsidR="00424465" w:rsidRPr="188666AD">
            <w:rPr>
              <w:rFonts w:ascii="Times New Roman" w:eastAsia="Times New Roman" w:hAnsi="Times New Roman" w:cs="Times New Roman"/>
            </w:rPr>
            <w:t xml:space="preserve">of the European Parliament and of the Council of 20 June 2019 on open data and the re-use of public sector information (recast), </w:t>
          </w:r>
          <w:r w:rsidR="00424465" w:rsidRPr="188666AD">
            <w:rPr>
              <w:rFonts w:ascii="Times New Roman" w:eastAsia="Times New Roman" w:hAnsi="Times New Roman" w:cs="Times New Roman"/>
              <w:i/>
              <w:iCs/>
            </w:rPr>
            <w:t>OJ L 172, 26.6.2019, p. 56–83</w:t>
          </w:r>
        </w:p>
        <w:p w14:paraId="0191B35E" w14:textId="7BD5F2A1" w:rsidR="00FA3257" w:rsidRPr="00FA3257" w:rsidRDefault="00FA3257" w:rsidP="188666AD">
          <w:pPr>
            <w:shd w:val="clear" w:color="auto" w:fill="FFFFFF" w:themeFill="background1"/>
            <w:spacing w:after="75"/>
            <w:jc w:val="both"/>
            <w:rPr>
              <w:rFonts w:ascii="Times New Roman" w:hAnsi="Times New Roman" w:cs="Times New Roman"/>
            </w:rPr>
          </w:pPr>
          <w:r w:rsidRPr="188666AD">
            <w:rPr>
              <w:rFonts w:ascii="Times New Roman" w:hAnsi="Times New Roman" w:cs="Times New Roman"/>
            </w:rPr>
            <w:t>1</w:t>
          </w:r>
          <w:r>
            <w:rPr>
              <w:rFonts w:ascii="Times New Roman" w:hAnsi="Times New Roman" w:cs="Times New Roman"/>
            </w:rPr>
            <w:t>0</w:t>
          </w:r>
          <w:r w:rsidRPr="188666AD">
            <w:rPr>
              <w:rFonts w:ascii="Times New Roman" w:hAnsi="Times New Roman" w:cs="Times New Roman"/>
            </w:rPr>
            <w:t xml:space="preserve">. </w:t>
          </w:r>
          <w:r w:rsidRPr="188666AD">
            <w:rPr>
              <w:rFonts w:ascii="Times New Roman" w:eastAsia="Times New Roman" w:hAnsi="Times New Roman" w:cs="Times New Roman"/>
              <w:b/>
              <w:bCs/>
            </w:rPr>
            <w:t>Regulation (EU) 2022/868</w:t>
          </w:r>
          <w:r w:rsidRPr="188666AD">
            <w:rPr>
              <w:rFonts w:ascii="Times New Roman" w:eastAsia="Times New Roman" w:hAnsi="Times New Roman" w:cs="Times New Roman"/>
            </w:rPr>
            <w:t xml:space="preserve"> of the European Parliament and of the Council of 30 May 2022 on European data governance and amending Regulation (EU) 2018/1724 (Data Governance Act), </w:t>
          </w:r>
          <w:r w:rsidRPr="188666AD">
            <w:rPr>
              <w:rFonts w:ascii="Times New Roman" w:eastAsia="Times New Roman" w:hAnsi="Times New Roman" w:cs="Times New Roman"/>
              <w:i/>
              <w:iCs/>
            </w:rPr>
            <w:t>OJ L 152, 3.6.2022, p. 1–44</w:t>
          </w:r>
          <w:r>
            <w:rPr>
              <w:rFonts w:ascii="Times New Roman" w:eastAsia="Times New Roman" w:hAnsi="Times New Roman" w:cs="Times New Roman"/>
              <w:i/>
              <w:iCs/>
              <w:lang w:val="bg-BG"/>
            </w:rPr>
            <w:t xml:space="preserve"> </w:t>
          </w:r>
        </w:p>
        <w:p w14:paraId="664CE7F0" w14:textId="120915B0" w:rsidR="004A752E" w:rsidRPr="009C75EB" w:rsidRDefault="004A752E" w:rsidP="188666AD">
          <w:pPr>
            <w:shd w:val="clear" w:color="auto" w:fill="FFFFFF" w:themeFill="background1"/>
            <w:spacing w:after="75"/>
            <w:jc w:val="both"/>
            <w:rPr>
              <w:rFonts w:ascii="Times New Roman" w:eastAsia="Times New Roman" w:hAnsi="Times New Roman" w:cs="Times New Roman"/>
            </w:rPr>
          </w:pPr>
          <w:r w:rsidRPr="188666AD">
            <w:rPr>
              <w:rFonts w:ascii="Times New Roman" w:hAnsi="Times New Roman" w:cs="Times New Roman"/>
            </w:rPr>
            <w:t>1</w:t>
          </w:r>
          <w:r w:rsidR="00FA3257">
            <w:rPr>
              <w:rFonts w:ascii="Times New Roman" w:hAnsi="Times New Roman" w:cs="Times New Roman"/>
            </w:rPr>
            <w:t>1</w:t>
          </w:r>
          <w:r w:rsidRPr="188666AD">
            <w:rPr>
              <w:rFonts w:ascii="Times New Roman" w:hAnsi="Times New Roman" w:cs="Times New Roman"/>
            </w:rPr>
            <w:t xml:space="preserve">. </w:t>
          </w:r>
          <w:proofErr w:type="spellStart"/>
          <w:r w:rsidR="5881FCF1" w:rsidRPr="188666AD">
            <w:rPr>
              <w:rFonts w:ascii="Times New Roman" w:eastAsia="Times New Roman" w:hAnsi="Times New Roman" w:cs="Times New Roman"/>
              <w:b/>
              <w:bCs/>
              <w:color w:val="000000" w:themeColor="text1"/>
              <w:lang w:val="bg-BG"/>
            </w:rPr>
            <w:t>Regulation</w:t>
          </w:r>
          <w:proofErr w:type="spellEnd"/>
          <w:r w:rsidR="5881FCF1" w:rsidRPr="188666AD">
            <w:rPr>
              <w:rFonts w:ascii="Times New Roman" w:eastAsia="Times New Roman" w:hAnsi="Times New Roman" w:cs="Times New Roman"/>
              <w:b/>
              <w:bCs/>
              <w:color w:val="000000" w:themeColor="text1"/>
              <w:lang w:val="bg-BG"/>
            </w:rPr>
            <w:t xml:space="preserve"> (EU) 2016/679</w:t>
          </w:r>
          <w:r w:rsidR="5881FCF1" w:rsidRPr="188666AD">
            <w:rPr>
              <w:rFonts w:ascii="Times New Roman" w:eastAsia="Times New Roman" w:hAnsi="Times New Roman" w:cs="Times New Roman"/>
              <w:color w:val="000000" w:themeColor="text1"/>
              <w:lang w:val="bg-BG"/>
            </w:rPr>
            <w:t xml:space="preserve"> </w:t>
          </w:r>
          <w:proofErr w:type="spellStart"/>
          <w:r w:rsidR="5881FCF1" w:rsidRPr="188666AD">
            <w:rPr>
              <w:rFonts w:ascii="Times New Roman" w:eastAsia="Times New Roman" w:hAnsi="Times New Roman" w:cs="Times New Roman"/>
              <w:color w:val="000000" w:themeColor="text1"/>
              <w:lang w:val="bg-BG"/>
            </w:rPr>
            <w:t>of</w:t>
          </w:r>
          <w:proofErr w:type="spellEnd"/>
          <w:r w:rsidR="5881FCF1" w:rsidRPr="188666AD">
            <w:rPr>
              <w:rFonts w:ascii="Times New Roman" w:eastAsia="Times New Roman" w:hAnsi="Times New Roman" w:cs="Times New Roman"/>
              <w:color w:val="000000" w:themeColor="text1"/>
              <w:lang w:val="bg-BG"/>
            </w:rPr>
            <w:t xml:space="preserve"> </w:t>
          </w:r>
          <w:proofErr w:type="spellStart"/>
          <w:r w:rsidR="5881FCF1" w:rsidRPr="188666AD">
            <w:rPr>
              <w:rFonts w:ascii="Times New Roman" w:eastAsia="Times New Roman" w:hAnsi="Times New Roman" w:cs="Times New Roman"/>
              <w:color w:val="000000" w:themeColor="text1"/>
              <w:lang w:val="bg-BG"/>
            </w:rPr>
            <w:t>the</w:t>
          </w:r>
          <w:proofErr w:type="spellEnd"/>
          <w:r w:rsidR="5881FCF1" w:rsidRPr="188666AD">
            <w:rPr>
              <w:rFonts w:ascii="Times New Roman" w:eastAsia="Times New Roman" w:hAnsi="Times New Roman" w:cs="Times New Roman"/>
              <w:color w:val="000000" w:themeColor="text1"/>
              <w:lang w:val="bg-BG"/>
            </w:rPr>
            <w:t xml:space="preserve"> </w:t>
          </w:r>
          <w:proofErr w:type="spellStart"/>
          <w:r w:rsidR="5881FCF1" w:rsidRPr="188666AD">
            <w:rPr>
              <w:rFonts w:ascii="Times New Roman" w:eastAsia="Times New Roman" w:hAnsi="Times New Roman" w:cs="Times New Roman"/>
              <w:color w:val="000000" w:themeColor="text1"/>
              <w:lang w:val="bg-BG"/>
            </w:rPr>
            <w:t>European</w:t>
          </w:r>
          <w:proofErr w:type="spellEnd"/>
          <w:r w:rsidR="5881FCF1" w:rsidRPr="188666AD">
            <w:rPr>
              <w:rFonts w:ascii="Times New Roman" w:eastAsia="Times New Roman" w:hAnsi="Times New Roman" w:cs="Times New Roman"/>
              <w:color w:val="000000" w:themeColor="text1"/>
              <w:lang w:val="bg-BG"/>
            </w:rPr>
            <w:t xml:space="preserve"> </w:t>
          </w:r>
          <w:proofErr w:type="spellStart"/>
          <w:r w:rsidR="5881FCF1" w:rsidRPr="188666AD">
            <w:rPr>
              <w:rFonts w:ascii="Times New Roman" w:eastAsia="Times New Roman" w:hAnsi="Times New Roman" w:cs="Times New Roman"/>
              <w:color w:val="000000" w:themeColor="text1"/>
              <w:lang w:val="bg-BG"/>
            </w:rPr>
            <w:t>Parliament</w:t>
          </w:r>
          <w:proofErr w:type="spellEnd"/>
          <w:r w:rsidR="5881FCF1" w:rsidRPr="188666AD">
            <w:rPr>
              <w:rFonts w:ascii="Times New Roman" w:eastAsia="Times New Roman" w:hAnsi="Times New Roman" w:cs="Times New Roman"/>
              <w:color w:val="000000" w:themeColor="text1"/>
              <w:lang w:val="bg-BG"/>
            </w:rPr>
            <w:t xml:space="preserve"> </w:t>
          </w:r>
          <w:proofErr w:type="spellStart"/>
          <w:r w:rsidR="5881FCF1" w:rsidRPr="188666AD">
            <w:rPr>
              <w:rFonts w:ascii="Times New Roman" w:eastAsia="Times New Roman" w:hAnsi="Times New Roman" w:cs="Times New Roman"/>
              <w:color w:val="000000" w:themeColor="text1"/>
              <w:lang w:val="bg-BG"/>
            </w:rPr>
            <w:t>and</w:t>
          </w:r>
          <w:proofErr w:type="spellEnd"/>
          <w:r w:rsidR="5881FCF1" w:rsidRPr="188666AD">
            <w:rPr>
              <w:rFonts w:ascii="Times New Roman" w:eastAsia="Times New Roman" w:hAnsi="Times New Roman" w:cs="Times New Roman"/>
              <w:color w:val="000000" w:themeColor="text1"/>
              <w:lang w:val="bg-BG"/>
            </w:rPr>
            <w:t xml:space="preserve"> </w:t>
          </w:r>
          <w:proofErr w:type="spellStart"/>
          <w:r w:rsidR="5881FCF1" w:rsidRPr="188666AD">
            <w:rPr>
              <w:rFonts w:ascii="Times New Roman" w:eastAsia="Times New Roman" w:hAnsi="Times New Roman" w:cs="Times New Roman"/>
              <w:color w:val="000000" w:themeColor="text1"/>
              <w:lang w:val="bg-BG"/>
            </w:rPr>
            <w:t>of</w:t>
          </w:r>
          <w:proofErr w:type="spellEnd"/>
          <w:r w:rsidR="5881FCF1" w:rsidRPr="188666AD">
            <w:rPr>
              <w:rFonts w:ascii="Times New Roman" w:eastAsia="Times New Roman" w:hAnsi="Times New Roman" w:cs="Times New Roman"/>
              <w:color w:val="000000" w:themeColor="text1"/>
              <w:lang w:val="bg-BG"/>
            </w:rPr>
            <w:t xml:space="preserve"> </w:t>
          </w:r>
          <w:proofErr w:type="spellStart"/>
          <w:r w:rsidR="5881FCF1" w:rsidRPr="188666AD">
            <w:rPr>
              <w:rFonts w:ascii="Times New Roman" w:eastAsia="Times New Roman" w:hAnsi="Times New Roman" w:cs="Times New Roman"/>
              <w:color w:val="000000" w:themeColor="text1"/>
              <w:lang w:val="bg-BG"/>
            </w:rPr>
            <w:t>the</w:t>
          </w:r>
          <w:proofErr w:type="spellEnd"/>
          <w:r w:rsidR="5881FCF1" w:rsidRPr="188666AD">
            <w:rPr>
              <w:rFonts w:ascii="Times New Roman" w:eastAsia="Times New Roman" w:hAnsi="Times New Roman" w:cs="Times New Roman"/>
              <w:color w:val="000000" w:themeColor="text1"/>
              <w:lang w:val="bg-BG"/>
            </w:rPr>
            <w:t xml:space="preserve"> </w:t>
          </w:r>
          <w:proofErr w:type="spellStart"/>
          <w:r w:rsidR="5881FCF1" w:rsidRPr="188666AD">
            <w:rPr>
              <w:rFonts w:ascii="Times New Roman" w:eastAsia="Times New Roman" w:hAnsi="Times New Roman" w:cs="Times New Roman"/>
              <w:color w:val="000000" w:themeColor="text1"/>
              <w:lang w:val="bg-BG"/>
            </w:rPr>
            <w:t>Council</w:t>
          </w:r>
          <w:proofErr w:type="spellEnd"/>
          <w:r w:rsidR="5881FCF1" w:rsidRPr="188666AD">
            <w:rPr>
              <w:rFonts w:ascii="Times New Roman" w:eastAsia="Times New Roman" w:hAnsi="Times New Roman" w:cs="Times New Roman"/>
              <w:color w:val="000000" w:themeColor="text1"/>
              <w:lang w:val="bg-BG"/>
            </w:rPr>
            <w:t xml:space="preserve"> </w:t>
          </w:r>
          <w:proofErr w:type="spellStart"/>
          <w:r w:rsidR="5881FCF1" w:rsidRPr="188666AD">
            <w:rPr>
              <w:rFonts w:ascii="Times New Roman" w:eastAsia="Times New Roman" w:hAnsi="Times New Roman" w:cs="Times New Roman"/>
              <w:color w:val="000000" w:themeColor="text1"/>
              <w:lang w:val="bg-BG"/>
            </w:rPr>
            <w:t>of</w:t>
          </w:r>
          <w:proofErr w:type="spellEnd"/>
          <w:r w:rsidR="5881FCF1" w:rsidRPr="188666AD">
            <w:rPr>
              <w:rFonts w:ascii="Times New Roman" w:eastAsia="Times New Roman" w:hAnsi="Times New Roman" w:cs="Times New Roman"/>
              <w:color w:val="000000" w:themeColor="text1"/>
              <w:lang w:val="bg-BG"/>
            </w:rPr>
            <w:t xml:space="preserve"> 27 </w:t>
          </w:r>
          <w:proofErr w:type="spellStart"/>
          <w:r w:rsidR="5881FCF1" w:rsidRPr="188666AD">
            <w:rPr>
              <w:rFonts w:ascii="Times New Roman" w:eastAsia="Times New Roman" w:hAnsi="Times New Roman" w:cs="Times New Roman"/>
              <w:color w:val="000000" w:themeColor="text1"/>
              <w:lang w:val="bg-BG"/>
            </w:rPr>
            <w:t>April</w:t>
          </w:r>
          <w:proofErr w:type="spellEnd"/>
          <w:r w:rsidR="5881FCF1" w:rsidRPr="188666AD">
            <w:rPr>
              <w:rFonts w:ascii="Times New Roman" w:eastAsia="Times New Roman" w:hAnsi="Times New Roman" w:cs="Times New Roman"/>
              <w:color w:val="000000" w:themeColor="text1"/>
              <w:lang w:val="bg-BG"/>
            </w:rPr>
            <w:t xml:space="preserve"> 2016 </w:t>
          </w:r>
          <w:proofErr w:type="spellStart"/>
          <w:r w:rsidR="5881FCF1" w:rsidRPr="188666AD">
            <w:rPr>
              <w:rFonts w:ascii="Times New Roman" w:eastAsia="Times New Roman" w:hAnsi="Times New Roman" w:cs="Times New Roman"/>
              <w:color w:val="000000" w:themeColor="text1"/>
              <w:lang w:val="bg-BG"/>
            </w:rPr>
            <w:t>on</w:t>
          </w:r>
          <w:proofErr w:type="spellEnd"/>
          <w:r w:rsidR="5881FCF1" w:rsidRPr="188666AD">
            <w:rPr>
              <w:rFonts w:ascii="Times New Roman" w:eastAsia="Times New Roman" w:hAnsi="Times New Roman" w:cs="Times New Roman"/>
              <w:color w:val="000000" w:themeColor="text1"/>
              <w:lang w:val="bg-BG"/>
            </w:rPr>
            <w:t xml:space="preserve"> </w:t>
          </w:r>
          <w:proofErr w:type="spellStart"/>
          <w:r w:rsidR="5881FCF1" w:rsidRPr="188666AD">
            <w:rPr>
              <w:rFonts w:ascii="Times New Roman" w:eastAsia="Times New Roman" w:hAnsi="Times New Roman" w:cs="Times New Roman"/>
              <w:color w:val="000000" w:themeColor="text1"/>
              <w:lang w:val="bg-BG"/>
            </w:rPr>
            <w:t>the</w:t>
          </w:r>
          <w:proofErr w:type="spellEnd"/>
          <w:r w:rsidR="5881FCF1" w:rsidRPr="188666AD">
            <w:rPr>
              <w:rFonts w:ascii="Times New Roman" w:eastAsia="Times New Roman" w:hAnsi="Times New Roman" w:cs="Times New Roman"/>
              <w:color w:val="000000" w:themeColor="text1"/>
              <w:lang w:val="bg-BG"/>
            </w:rPr>
            <w:t xml:space="preserve"> </w:t>
          </w:r>
          <w:proofErr w:type="spellStart"/>
          <w:r w:rsidR="5881FCF1" w:rsidRPr="188666AD">
            <w:rPr>
              <w:rFonts w:ascii="Times New Roman" w:eastAsia="Times New Roman" w:hAnsi="Times New Roman" w:cs="Times New Roman"/>
              <w:color w:val="000000" w:themeColor="text1"/>
              <w:lang w:val="bg-BG"/>
            </w:rPr>
            <w:t>protection</w:t>
          </w:r>
          <w:proofErr w:type="spellEnd"/>
          <w:r w:rsidR="5881FCF1" w:rsidRPr="188666AD">
            <w:rPr>
              <w:rFonts w:ascii="Times New Roman" w:eastAsia="Times New Roman" w:hAnsi="Times New Roman" w:cs="Times New Roman"/>
              <w:color w:val="000000" w:themeColor="text1"/>
              <w:lang w:val="bg-BG"/>
            </w:rPr>
            <w:t xml:space="preserve"> </w:t>
          </w:r>
          <w:proofErr w:type="spellStart"/>
          <w:r w:rsidR="5881FCF1" w:rsidRPr="188666AD">
            <w:rPr>
              <w:rFonts w:ascii="Times New Roman" w:eastAsia="Times New Roman" w:hAnsi="Times New Roman" w:cs="Times New Roman"/>
              <w:color w:val="000000" w:themeColor="text1"/>
              <w:lang w:val="bg-BG"/>
            </w:rPr>
            <w:t>of</w:t>
          </w:r>
          <w:proofErr w:type="spellEnd"/>
          <w:r w:rsidR="5881FCF1" w:rsidRPr="188666AD">
            <w:rPr>
              <w:rFonts w:ascii="Times New Roman" w:eastAsia="Times New Roman" w:hAnsi="Times New Roman" w:cs="Times New Roman"/>
              <w:color w:val="000000" w:themeColor="text1"/>
              <w:lang w:val="bg-BG"/>
            </w:rPr>
            <w:t xml:space="preserve"> </w:t>
          </w:r>
          <w:proofErr w:type="spellStart"/>
          <w:r w:rsidR="5881FCF1" w:rsidRPr="188666AD">
            <w:rPr>
              <w:rFonts w:ascii="Times New Roman" w:eastAsia="Times New Roman" w:hAnsi="Times New Roman" w:cs="Times New Roman"/>
              <w:color w:val="000000" w:themeColor="text1"/>
              <w:lang w:val="bg-BG"/>
            </w:rPr>
            <w:t>natural</w:t>
          </w:r>
          <w:proofErr w:type="spellEnd"/>
          <w:r w:rsidR="5881FCF1" w:rsidRPr="188666AD">
            <w:rPr>
              <w:rFonts w:ascii="Times New Roman" w:eastAsia="Times New Roman" w:hAnsi="Times New Roman" w:cs="Times New Roman"/>
              <w:color w:val="000000" w:themeColor="text1"/>
              <w:lang w:val="bg-BG"/>
            </w:rPr>
            <w:t xml:space="preserve"> </w:t>
          </w:r>
          <w:proofErr w:type="spellStart"/>
          <w:r w:rsidR="5881FCF1" w:rsidRPr="188666AD">
            <w:rPr>
              <w:rFonts w:ascii="Times New Roman" w:eastAsia="Times New Roman" w:hAnsi="Times New Roman" w:cs="Times New Roman"/>
              <w:color w:val="000000" w:themeColor="text1"/>
              <w:lang w:val="bg-BG"/>
            </w:rPr>
            <w:t>persons</w:t>
          </w:r>
          <w:proofErr w:type="spellEnd"/>
          <w:r w:rsidR="5881FCF1" w:rsidRPr="188666AD">
            <w:rPr>
              <w:rFonts w:ascii="Times New Roman" w:eastAsia="Times New Roman" w:hAnsi="Times New Roman" w:cs="Times New Roman"/>
              <w:color w:val="000000" w:themeColor="text1"/>
              <w:lang w:val="bg-BG"/>
            </w:rPr>
            <w:t xml:space="preserve"> </w:t>
          </w:r>
          <w:proofErr w:type="spellStart"/>
          <w:proofErr w:type="gramStart"/>
          <w:r w:rsidR="5881FCF1" w:rsidRPr="188666AD">
            <w:rPr>
              <w:rFonts w:ascii="Times New Roman" w:eastAsia="Times New Roman" w:hAnsi="Times New Roman" w:cs="Times New Roman"/>
              <w:color w:val="000000" w:themeColor="text1"/>
              <w:lang w:val="bg-BG"/>
            </w:rPr>
            <w:t>with</w:t>
          </w:r>
          <w:proofErr w:type="spellEnd"/>
          <w:r w:rsidR="5881FCF1" w:rsidRPr="188666AD">
            <w:rPr>
              <w:rFonts w:ascii="Times New Roman" w:eastAsia="Times New Roman" w:hAnsi="Times New Roman" w:cs="Times New Roman"/>
              <w:color w:val="000000" w:themeColor="text1"/>
              <w:lang w:val="bg-BG"/>
            </w:rPr>
            <w:t xml:space="preserve"> </w:t>
          </w:r>
          <w:proofErr w:type="spellStart"/>
          <w:r w:rsidR="5881FCF1" w:rsidRPr="188666AD">
            <w:rPr>
              <w:rFonts w:ascii="Times New Roman" w:eastAsia="Times New Roman" w:hAnsi="Times New Roman" w:cs="Times New Roman"/>
              <w:color w:val="000000" w:themeColor="text1"/>
              <w:lang w:val="bg-BG"/>
            </w:rPr>
            <w:t>regard</w:t>
          </w:r>
          <w:proofErr w:type="spellEnd"/>
          <w:r w:rsidR="5881FCF1" w:rsidRPr="188666AD">
            <w:rPr>
              <w:rFonts w:ascii="Times New Roman" w:eastAsia="Times New Roman" w:hAnsi="Times New Roman" w:cs="Times New Roman"/>
              <w:color w:val="000000" w:themeColor="text1"/>
              <w:lang w:val="bg-BG"/>
            </w:rPr>
            <w:t xml:space="preserve"> </w:t>
          </w:r>
          <w:proofErr w:type="spellStart"/>
          <w:r w:rsidR="5881FCF1" w:rsidRPr="188666AD">
            <w:rPr>
              <w:rFonts w:ascii="Times New Roman" w:eastAsia="Times New Roman" w:hAnsi="Times New Roman" w:cs="Times New Roman"/>
              <w:color w:val="000000" w:themeColor="text1"/>
              <w:lang w:val="bg-BG"/>
            </w:rPr>
            <w:t>to</w:t>
          </w:r>
          <w:proofErr w:type="spellEnd"/>
          <w:proofErr w:type="gramEnd"/>
          <w:r w:rsidR="5881FCF1" w:rsidRPr="188666AD">
            <w:rPr>
              <w:rFonts w:ascii="Times New Roman" w:eastAsia="Times New Roman" w:hAnsi="Times New Roman" w:cs="Times New Roman"/>
              <w:color w:val="000000" w:themeColor="text1"/>
              <w:lang w:val="bg-BG"/>
            </w:rPr>
            <w:t xml:space="preserve"> </w:t>
          </w:r>
          <w:proofErr w:type="spellStart"/>
          <w:r w:rsidR="5881FCF1" w:rsidRPr="188666AD">
            <w:rPr>
              <w:rFonts w:ascii="Times New Roman" w:eastAsia="Times New Roman" w:hAnsi="Times New Roman" w:cs="Times New Roman"/>
              <w:color w:val="000000" w:themeColor="text1"/>
              <w:lang w:val="bg-BG"/>
            </w:rPr>
            <w:t>the</w:t>
          </w:r>
          <w:proofErr w:type="spellEnd"/>
          <w:r w:rsidR="5881FCF1" w:rsidRPr="188666AD">
            <w:rPr>
              <w:rFonts w:ascii="Times New Roman" w:eastAsia="Times New Roman" w:hAnsi="Times New Roman" w:cs="Times New Roman"/>
              <w:color w:val="000000" w:themeColor="text1"/>
              <w:lang w:val="bg-BG"/>
            </w:rPr>
            <w:t xml:space="preserve"> </w:t>
          </w:r>
          <w:proofErr w:type="spellStart"/>
          <w:r w:rsidR="5881FCF1" w:rsidRPr="188666AD">
            <w:rPr>
              <w:rFonts w:ascii="Times New Roman" w:eastAsia="Times New Roman" w:hAnsi="Times New Roman" w:cs="Times New Roman"/>
              <w:color w:val="000000" w:themeColor="text1"/>
              <w:lang w:val="bg-BG"/>
            </w:rPr>
            <w:t>processing</w:t>
          </w:r>
          <w:proofErr w:type="spellEnd"/>
          <w:r w:rsidR="5881FCF1" w:rsidRPr="188666AD">
            <w:rPr>
              <w:rFonts w:ascii="Times New Roman" w:eastAsia="Times New Roman" w:hAnsi="Times New Roman" w:cs="Times New Roman"/>
              <w:color w:val="000000" w:themeColor="text1"/>
              <w:lang w:val="bg-BG"/>
            </w:rPr>
            <w:t xml:space="preserve"> </w:t>
          </w:r>
          <w:proofErr w:type="spellStart"/>
          <w:r w:rsidR="5881FCF1" w:rsidRPr="188666AD">
            <w:rPr>
              <w:rFonts w:ascii="Times New Roman" w:eastAsia="Times New Roman" w:hAnsi="Times New Roman" w:cs="Times New Roman"/>
              <w:color w:val="000000" w:themeColor="text1"/>
              <w:lang w:val="bg-BG"/>
            </w:rPr>
            <w:t>of</w:t>
          </w:r>
          <w:proofErr w:type="spellEnd"/>
          <w:r w:rsidR="5881FCF1" w:rsidRPr="188666AD">
            <w:rPr>
              <w:rFonts w:ascii="Times New Roman" w:eastAsia="Times New Roman" w:hAnsi="Times New Roman" w:cs="Times New Roman"/>
              <w:color w:val="000000" w:themeColor="text1"/>
              <w:lang w:val="bg-BG"/>
            </w:rPr>
            <w:t xml:space="preserve"> </w:t>
          </w:r>
          <w:proofErr w:type="spellStart"/>
          <w:r w:rsidR="5881FCF1" w:rsidRPr="188666AD">
            <w:rPr>
              <w:rFonts w:ascii="Times New Roman" w:eastAsia="Times New Roman" w:hAnsi="Times New Roman" w:cs="Times New Roman"/>
              <w:color w:val="000000" w:themeColor="text1"/>
              <w:lang w:val="bg-BG"/>
            </w:rPr>
            <w:t>personal</w:t>
          </w:r>
          <w:proofErr w:type="spellEnd"/>
          <w:r w:rsidR="5881FCF1" w:rsidRPr="188666AD">
            <w:rPr>
              <w:rFonts w:ascii="Times New Roman" w:eastAsia="Times New Roman" w:hAnsi="Times New Roman" w:cs="Times New Roman"/>
              <w:color w:val="000000" w:themeColor="text1"/>
              <w:lang w:val="bg-BG"/>
            </w:rPr>
            <w:t xml:space="preserve"> </w:t>
          </w:r>
          <w:proofErr w:type="spellStart"/>
          <w:r w:rsidR="5881FCF1" w:rsidRPr="188666AD">
            <w:rPr>
              <w:rFonts w:ascii="Times New Roman" w:eastAsia="Times New Roman" w:hAnsi="Times New Roman" w:cs="Times New Roman"/>
              <w:color w:val="000000" w:themeColor="text1"/>
              <w:lang w:val="bg-BG"/>
            </w:rPr>
            <w:t>data</w:t>
          </w:r>
          <w:proofErr w:type="spellEnd"/>
          <w:r w:rsidR="5881FCF1" w:rsidRPr="188666AD">
            <w:rPr>
              <w:rFonts w:ascii="Times New Roman" w:eastAsia="Times New Roman" w:hAnsi="Times New Roman" w:cs="Times New Roman"/>
              <w:color w:val="000000" w:themeColor="text1"/>
              <w:lang w:val="bg-BG"/>
            </w:rPr>
            <w:t xml:space="preserve"> </w:t>
          </w:r>
          <w:proofErr w:type="spellStart"/>
          <w:r w:rsidR="5881FCF1" w:rsidRPr="188666AD">
            <w:rPr>
              <w:rFonts w:ascii="Times New Roman" w:eastAsia="Times New Roman" w:hAnsi="Times New Roman" w:cs="Times New Roman"/>
              <w:color w:val="000000" w:themeColor="text1"/>
              <w:lang w:val="bg-BG"/>
            </w:rPr>
            <w:t>and</w:t>
          </w:r>
          <w:proofErr w:type="spellEnd"/>
          <w:r w:rsidR="5881FCF1" w:rsidRPr="188666AD">
            <w:rPr>
              <w:rFonts w:ascii="Times New Roman" w:eastAsia="Times New Roman" w:hAnsi="Times New Roman" w:cs="Times New Roman"/>
              <w:color w:val="000000" w:themeColor="text1"/>
              <w:lang w:val="bg-BG"/>
            </w:rPr>
            <w:t xml:space="preserve"> </w:t>
          </w:r>
          <w:proofErr w:type="spellStart"/>
          <w:r w:rsidR="5881FCF1" w:rsidRPr="188666AD">
            <w:rPr>
              <w:rFonts w:ascii="Times New Roman" w:eastAsia="Times New Roman" w:hAnsi="Times New Roman" w:cs="Times New Roman"/>
              <w:color w:val="000000" w:themeColor="text1"/>
              <w:lang w:val="bg-BG"/>
            </w:rPr>
            <w:t>on</w:t>
          </w:r>
          <w:proofErr w:type="spellEnd"/>
          <w:r w:rsidR="5881FCF1" w:rsidRPr="188666AD">
            <w:rPr>
              <w:rFonts w:ascii="Times New Roman" w:eastAsia="Times New Roman" w:hAnsi="Times New Roman" w:cs="Times New Roman"/>
              <w:color w:val="000000" w:themeColor="text1"/>
              <w:lang w:val="bg-BG"/>
            </w:rPr>
            <w:t xml:space="preserve"> </w:t>
          </w:r>
          <w:proofErr w:type="spellStart"/>
          <w:r w:rsidR="5881FCF1" w:rsidRPr="188666AD">
            <w:rPr>
              <w:rFonts w:ascii="Times New Roman" w:eastAsia="Times New Roman" w:hAnsi="Times New Roman" w:cs="Times New Roman"/>
              <w:color w:val="000000" w:themeColor="text1"/>
              <w:lang w:val="bg-BG"/>
            </w:rPr>
            <w:t>the</w:t>
          </w:r>
          <w:proofErr w:type="spellEnd"/>
          <w:r w:rsidR="5881FCF1" w:rsidRPr="188666AD">
            <w:rPr>
              <w:rFonts w:ascii="Times New Roman" w:eastAsia="Times New Roman" w:hAnsi="Times New Roman" w:cs="Times New Roman"/>
              <w:color w:val="000000" w:themeColor="text1"/>
              <w:lang w:val="bg-BG"/>
            </w:rPr>
            <w:t xml:space="preserve"> </w:t>
          </w:r>
          <w:proofErr w:type="spellStart"/>
          <w:r w:rsidR="5881FCF1" w:rsidRPr="188666AD">
            <w:rPr>
              <w:rFonts w:ascii="Times New Roman" w:eastAsia="Times New Roman" w:hAnsi="Times New Roman" w:cs="Times New Roman"/>
              <w:color w:val="000000" w:themeColor="text1"/>
              <w:lang w:val="bg-BG"/>
            </w:rPr>
            <w:t>free</w:t>
          </w:r>
          <w:proofErr w:type="spellEnd"/>
          <w:r w:rsidR="5881FCF1" w:rsidRPr="188666AD">
            <w:rPr>
              <w:rFonts w:ascii="Times New Roman" w:eastAsia="Times New Roman" w:hAnsi="Times New Roman" w:cs="Times New Roman"/>
              <w:color w:val="000000" w:themeColor="text1"/>
              <w:lang w:val="bg-BG"/>
            </w:rPr>
            <w:t xml:space="preserve"> </w:t>
          </w:r>
          <w:proofErr w:type="spellStart"/>
          <w:r w:rsidR="5881FCF1" w:rsidRPr="188666AD">
            <w:rPr>
              <w:rFonts w:ascii="Times New Roman" w:eastAsia="Times New Roman" w:hAnsi="Times New Roman" w:cs="Times New Roman"/>
              <w:color w:val="000000" w:themeColor="text1"/>
              <w:lang w:val="bg-BG"/>
            </w:rPr>
            <w:t>movement</w:t>
          </w:r>
          <w:proofErr w:type="spellEnd"/>
          <w:r w:rsidR="5881FCF1" w:rsidRPr="188666AD">
            <w:rPr>
              <w:rFonts w:ascii="Times New Roman" w:eastAsia="Times New Roman" w:hAnsi="Times New Roman" w:cs="Times New Roman"/>
              <w:color w:val="000000" w:themeColor="text1"/>
              <w:lang w:val="bg-BG"/>
            </w:rPr>
            <w:t xml:space="preserve"> </w:t>
          </w:r>
          <w:proofErr w:type="spellStart"/>
          <w:r w:rsidR="5881FCF1" w:rsidRPr="188666AD">
            <w:rPr>
              <w:rFonts w:ascii="Times New Roman" w:eastAsia="Times New Roman" w:hAnsi="Times New Roman" w:cs="Times New Roman"/>
              <w:color w:val="000000" w:themeColor="text1"/>
              <w:lang w:val="bg-BG"/>
            </w:rPr>
            <w:t>of</w:t>
          </w:r>
          <w:proofErr w:type="spellEnd"/>
          <w:r w:rsidR="5881FCF1" w:rsidRPr="188666AD">
            <w:rPr>
              <w:rFonts w:ascii="Times New Roman" w:eastAsia="Times New Roman" w:hAnsi="Times New Roman" w:cs="Times New Roman"/>
              <w:color w:val="000000" w:themeColor="text1"/>
              <w:lang w:val="bg-BG"/>
            </w:rPr>
            <w:t xml:space="preserve"> </w:t>
          </w:r>
          <w:proofErr w:type="spellStart"/>
          <w:r w:rsidR="5881FCF1" w:rsidRPr="188666AD">
            <w:rPr>
              <w:rFonts w:ascii="Times New Roman" w:eastAsia="Times New Roman" w:hAnsi="Times New Roman" w:cs="Times New Roman"/>
              <w:color w:val="000000" w:themeColor="text1"/>
              <w:lang w:val="bg-BG"/>
            </w:rPr>
            <w:t>such</w:t>
          </w:r>
          <w:proofErr w:type="spellEnd"/>
          <w:r w:rsidR="5881FCF1" w:rsidRPr="188666AD">
            <w:rPr>
              <w:rFonts w:ascii="Times New Roman" w:eastAsia="Times New Roman" w:hAnsi="Times New Roman" w:cs="Times New Roman"/>
              <w:color w:val="000000" w:themeColor="text1"/>
              <w:lang w:val="bg-BG"/>
            </w:rPr>
            <w:t xml:space="preserve"> </w:t>
          </w:r>
          <w:proofErr w:type="spellStart"/>
          <w:r w:rsidR="5881FCF1" w:rsidRPr="188666AD">
            <w:rPr>
              <w:rFonts w:ascii="Times New Roman" w:eastAsia="Times New Roman" w:hAnsi="Times New Roman" w:cs="Times New Roman"/>
              <w:color w:val="000000" w:themeColor="text1"/>
              <w:lang w:val="bg-BG"/>
            </w:rPr>
            <w:t>data</w:t>
          </w:r>
          <w:proofErr w:type="spellEnd"/>
          <w:r w:rsidR="5881FCF1" w:rsidRPr="188666AD">
            <w:rPr>
              <w:rFonts w:ascii="Times New Roman" w:eastAsia="Times New Roman" w:hAnsi="Times New Roman" w:cs="Times New Roman"/>
              <w:color w:val="000000" w:themeColor="text1"/>
              <w:lang w:val="bg-BG"/>
            </w:rPr>
            <w:t xml:space="preserve">, </w:t>
          </w:r>
          <w:proofErr w:type="spellStart"/>
          <w:r w:rsidR="5881FCF1" w:rsidRPr="188666AD">
            <w:rPr>
              <w:rFonts w:ascii="Times New Roman" w:eastAsia="Times New Roman" w:hAnsi="Times New Roman" w:cs="Times New Roman"/>
              <w:color w:val="000000" w:themeColor="text1"/>
              <w:lang w:val="bg-BG"/>
            </w:rPr>
            <w:t>and</w:t>
          </w:r>
          <w:proofErr w:type="spellEnd"/>
          <w:r w:rsidR="5881FCF1" w:rsidRPr="188666AD">
            <w:rPr>
              <w:rFonts w:ascii="Times New Roman" w:eastAsia="Times New Roman" w:hAnsi="Times New Roman" w:cs="Times New Roman"/>
              <w:color w:val="000000" w:themeColor="text1"/>
              <w:lang w:val="bg-BG"/>
            </w:rPr>
            <w:t xml:space="preserve"> </w:t>
          </w:r>
          <w:proofErr w:type="spellStart"/>
          <w:r w:rsidR="5881FCF1" w:rsidRPr="188666AD">
            <w:rPr>
              <w:rFonts w:ascii="Times New Roman" w:eastAsia="Times New Roman" w:hAnsi="Times New Roman" w:cs="Times New Roman"/>
              <w:color w:val="000000" w:themeColor="text1"/>
              <w:lang w:val="bg-BG"/>
            </w:rPr>
            <w:t>repealing</w:t>
          </w:r>
          <w:proofErr w:type="spellEnd"/>
          <w:r w:rsidR="5881FCF1" w:rsidRPr="188666AD">
            <w:rPr>
              <w:rFonts w:ascii="Times New Roman" w:eastAsia="Times New Roman" w:hAnsi="Times New Roman" w:cs="Times New Roman"/>
              <w:color w:val="000000" w:themeColor="text1"/>
              <w:lang w:val="bg-BG"/>
            </w:rPr>
            <w:t xml:space="preserve"> </w:t>
          </w:r>
          <w:proofErr w:type="spellStart"/>
          <w:r w:rsidR="5881FCF1" w:rsidRPr="188666AD">
            <w:rPr>
              <w:rFonts w:ascii="Times New Roman" w:eastAsia="Times New Roman" w:hAnsi="Times New Roman" w:cs="Times New Roman"/>
              <w:color w:val="000000" w:themeColor="text1"/>
              <w:lang w:val="bg-BG"/>
            </w:rPr>
            <w:t>Directive</w:t>
          </w:r>
          <w:proofErr w:type="spellEnd"/>
          <w:r w:rsidR="5881FCF1" w:rsidRPr="188666AD">
            <w:rPr>
              <w:rFonts w:ascii="Times New Roman" w:eastAsia="Times New Roman" w:hAnsi="Times New Roman" w:cs="Times New Roman"/>
              <w:color w:val="000000" w:themeColor="text1"/>
              <w:lang w:val="bg-BG"/>
            </w:rPr>
            <w:t xml:space="preserve"> 95/46/EC (General Data </w:t>
          </w:r>
          <w:proofErr w:type="spellStart"/>
          <w:r w:rsidR="5881FCF1" w:rsidRPr="188666AD">
            <w:rPr>
              <w:rFonts w:ascii="Times New Roman" w:eastAsia="Times New Roman" w:hAnsi="Times New Roman" w:cs="Times New Roman"/>
              <w:color w:val="000000" w:themeColor="text1"/>
              <w:lang w:val="bg-BG"/>
            </w:rPr>
            <w:t>Protection</w:t>
          </w:r>
          <w:proofErr w:type="spellEnd"/>
          <w:r w:rsidR="5881FCF1" w:rsidRPr="188666AD">
            <w:rPr>
              <w:rFonts w:ascii="Times New Roman" w:eastAsia="Times New Roman" w:hAnsi="Times New Roman" w:cs="Times New Roman"/>
              <w:color w:val="000000" w:themeColor="text1"/>
              <w:lang w:val="bg-BG"/>
            </w:rPr>
            <w:t xml:space="preserve"> </w:t>
          </w:r>
          <w:proofErr w:type="spellStart"/>
          <w:r w:rsidR="5881FCF1" w:rsidRPr="188666AD">
            <w:rPr>
              <w:rFonts w:ascii="Times New Roman" w:eastAsia="Times New Roman" w:hAnsi="Times New Roman" w:cs="Times New Roman"/>
              <w:color w:val="000000" w:themeColor="text1"/>
              <w:lang w:val="bg-BG"/>
            </w:rPr>
            <w:t>Regulation</w:t>
          </w:r>
          <w:proofErr w:type="spellEnd"/>
          <w:r w:rsidR="5881FCF1" w:rsidRPr="188666AD">
            <w:rPr>
              <w:rFonts w:ascii="Times New Roman" w:eastAsia="Times New Roman" w:hAnsi="Times New Roman" w:cs="Times New Roman"/>
              <w:color w:val="000000" w:themeColor="text1"/>
              <w:lang w:val="bg-BG"/>
            </w:rPr>
            <w:t xml:space="preserve">), </w:t>
          </w:r>
          <w:r w:rsidR="5881FCF1" w:rsidRPr="188666AD">
            <w:rPr>
              <w:rFonts w:ascii="Times New Roman" w:eastAsia="Times New Roman" w:hAnsi="Times New Roman" w:cs="Times New Roman"/>
              <w:i/>
              <w:iCs/>
              <w:color w:val="000000" w:themeColor="text1"/>
              <w:lang w:val="bg-BG"/>
            </w:rPr>
            <w:t>OJ L 119, 4.5.2016, p. 1–88</w:t>
          </w:r>
          <w:r w:rsidR="009C75EB">
            <w:rPr>
              <w:rFonts w:ascii="Times New Roman" w:eastAsia="Times New Roman" w:hAnsi="Times New Roman" w:cs="Times New Roman"/>
              <w:i/>
              <w:iCs/>
              <w:color w:val="000000" w:themeColor="text1"/>
              <w:lang w:val="bg-BG"/>
            </w:rPr>
            <w:t xml:space="preserve"> </w:t>
          </w:r>
        </w:p>
        <w:p w14:paraId="2FF9DBB0" w14:textId="425766D1" w:rsidR="004A752E" w:rsidRPr="008C2955" w:rsidRDefault="004A752E" w:rsidP="188666AD">
          <w:pPr>
            <w:shd w:val="clear" w:color="auto" w:fill="FFFFFF" w:themeFill="background1"/>
            <w:spacing w:after="75"/>
            <w:jc w:val="both"/>
            <w:rPr>
              <w:rFonts w:ascii="Times New Roman" w:eastAsia="Times New Roman" w:hAnsi="Times New Roman" w:cs="Times New Roman"/>
              <w:i/>
              <w:iCs/>
            </w:rPr>
          </w:pPr>
          <w:r w:rsidRPr="188666AD">
            <w:rPr>
              <w:rFonts w:ascii="Times New Roman" w:hAnsi="Times New Roman" w:cs="Times New Roman"/>
            </w:rPr>
            <w:t>1</w:t>
          </w:r>
          <w:r w:rsidR="00C71703">
            <w:rPr>
              <w:rFonts w:ascii="Times New Roman" w:hAnsi="Times New Roman" w:cs="Times New Roman"/>
            </w:rPr>
            <w:t>2</w:t>
          </w:r>
          <w:r w:rsidRPr="188666AD">
            <w:rPr>
              <w:rFonts w:ascii="Times New Roman" w:hAnsi="Times New Roman" w:cs="Times New Roman"/>
            </w:rPr>
            <w:t xml:space="preserve">. </w:t>
          </w:r>
          <w:r w:rsidR="1F1CEDA5" w:rsidRPr="188666AD">
            <w:rPr>
              <w:rFonts w:ascii="Times New Roman" w:eastAsia="Times New Roman" w:hAnsi="Times New Roman" w:cs="Times New Roman"/>
              <w:b/>
              <w:bCs/>
            </w:rPr>
            <w:t>Directive (EU) 2016/680</w:t>
          </w:r>
          <w:r w:rsidR="1F1CEDA5" w:rsidRPr="188666AD">
            <w:rPr>
              <w:rFonts w:ascii="Times New Roman" w:eastAsia="Times New Roman" w:hAnsi="Times New Roman" w:cs="Times New Roman"/>
            </w:rPr>
            <w:t xml:space="preserve"> of the European Parliament and of the Council of 27 April 2016 on the protection of natural persons with regard to the processing of personal data by competent authorities for the purposes of the prevention, investigation, detection or prosecution of criminal offences or the execution of criminal penalties, and on the free movement of such data, and repealing Council Framework Decision 2008/977/JHA, </w:t>
          </w:r>
          <w:r w:rsidR="1F1CEDA5" w:rsidRPr="188666AD">
            <w:rPr>
              <w:rFonts w:ascii="Times New Roman" w:eastAsia="Times New Roman" w:hAnsi="Times New Roman" w:cs="Times New Roman"/>
              <w:i/>
              <w:iCs/>
            </w:rPr>
            <w:t>OJ L 119, 4.5.2016, p. 89–131</w:t>
          </w:r>
        </w:p>
        <w:p w14:paraId="5C6CDC6E" w14:textId="5568EA2F" w:rsidR="00C71703" w:rsidRDefault="006D30B6" w:rsidP="006D30B6">
          <w:pPr>
            <w:jc w:val="both"/>
            <w:rPr>
              <w:rFonts w:ascii="Times New Roman" w:hAnsi="Times New Roman" w:cs="Times New Roman"/>
            </w:rPr>
          </w:pPr>
          <w:r w:rsidRPr="343AC019">
            <w:rPr>
              <w:rFonts w:ascii="Times New Roman" w:hAnsi="Times New Roman" w:cs="Times New Roman"/>
            </w:rPr>
            <w:lastRenderedPageBreak/>
            <w:t xml:space="preserve">13. The project is co-funded by the European Union under the ISF </w:t>
          </w:r>
          <w:proofErr w:type="spellStart"/>
          <w:r w:rsidRPr="343AC019">
            <w:rPr>
              <w:rFonts w:ascii="Times New Roman" w:hAnsi="Times New Roman" w:cs="Times New Roman"/>
            </w:rPr>
            <w:t>Programme</w:t>
          </w:r>
          <w:proofErr w:type="spellEnd"/>
          <w:r w:rsidRPr="343AC019">
            <w:rPr>
              <w:rFonts w:ascii="Times New Roman" w:hAnsi="Times New Roman" w:cs="Times New Roman"/>
            </w:rPr>
            <w:t>, GA</w:t>
          </w:r>
          <w:r w:rsidR="43ADA9F3" w:rsidRPr="343AC019">
            <w:rPr>
              <w:rFonts w:ascii="Times New Roman" w:hAnsi="Times New Roman" w:cs="Times New Roman"/>
            </w:rPr>
            <w:t xml:space="preserve"> </w:t>
          </w:r>
          <w:r w:rsidRPr="343AC019">
            <w:rPr>
              <w:rFonts w:ascii="Times New Roman" w:hAnsi="Times New Roman" w:cs="Times New Roman"/>
            </w:rPr>
            <w:t>No. 101145802. The views and opinions expressed in this publication are entirely those of the author and do not necessarily reflect the views and opinions of the European Union or the European Commission. Neither the European Union nor the European Commission is responsible for them.</w:t>
          </w:r>
        </w:p>
        <w:p w14:paraId="1A66AA4F" w14:textId="55CD6F4E" w:rsidR="009E6A9C" w:rsidRPr="008C2955" w:rsidRDefault="00C01742" w:rsidP="343AC019">
          <w:pPr>
            <w:jc w:val="both"/>
            <w:rPr>
              <w:rFonts w:ascii="Times New Roman" w:hAnsi="Times New Roman" w:cs="Times New Roman"/>
            </w:rPr>
          </w:pPr>
          <w:r w:rsidRPr="343AC019">
            <w:rPr>
              <w:rFonts w:ascii="Times New Roman" w:hAnsi="Times New Roman" w:cs="Times New Roman"/>
            </w:rPr>
            <w:t>14. The author's analogy with cosmic waste.</w:t>
          </w:r>
        </w:p>
        <w:p w14:paraId="64107DD7" w14:textId="254C16E1" w:rsidR="343AC019" w:rsidRDefault="343AC019" w:rsidP="343AC019">
          <w:pPr>
            <w:jc w:val="both"/>
            <w:rPr>
              <w:rFonts w:ascii="Times New Roman" w:hAnsi="Times New Roman" w:cs="Times New Roman"/>
            </w:rPr>
          </w:pPr>
        </w:p>
        <w:p w14:paraId="649E80FD" w14:textId="15E99D6A" w:rsidR="1B9ED729" w:rsidRDefault="1B9ED729" w:rsidP="343AC019">
          <w:pPr>
            <w:jc w:val="both"/>
            <w:rPr>
              <w:rFonts w:ascii="Times New Roman" w:hAnsi="Times New Roman" w:cs="Times New Roman"/>
              <w:b/>
              <w:bCs/>
            </w:rPr>
          </w:pPr>
          <w:proofErr w:type="gramStart"/>
          <w:r w:rsidRPr="343AC019">
            <w:rPr>
              <w:rFonts w:ascii="Times New Roman" w:hAnsi="Times New Roman" w:cs="Times New Roman"/>
              <w:b/>
              <w:bCs/>
            </w:rPr>
            <w:t>REFERENCES</w:t>
          </w:r>
          <w:proofErr w:type="gramEnd"/>
          <w:r w:rsidRPr="343AC019">
            <w:rPr>
              <w:rFonts w:ascii="Times New Roman" w:hAnsi="Times New Roman" w:cs="Times New Roman"/>
              <w:b/>
              <w:bCs/>
            </w:rPr>
            <w:t>:</w:t>
          </w:r>
        </w:p>
        <w:p w14:paraId="6FA06ABE" w14:textId="0640C2EE" w:rsidR="009E6A9C" w:rsidRPr="008C2955" w:rsidRDefault="009E6A9C" w:rsidP="009E6A9C">
          <w:pPr>
            <w:pStyle w:val="Bibliography"/>
            <w:jc w:val="both"/>
            <w:rPr>
              <w:rFonts w:ascii="Times New Roman" w:hAnsi="Times New Roman" w:cs="Times New Roman"/>
              <w:noProof/>
              <w:lang w:val="en-GB"/>
            </w:rPr>
          </w:pPr>
          <w:r w:rsidRPr="008C2955">
            <w:rPr>
              <w:rFonts w:ascii="Times New Roman" w:hAnsi="Times New Roman" w:cs="Times New Roman"/>
              <w:b/>
              <w:bCs/>
              <w:noProof/>
              <w:lang w:val="en-GB"/>
            </w:rPr>
            <w:t>Da Bormida, M.</w:t>
          </w:r>
          <w:r w:rsidRPr="008C2955">
            <w:rPr>
              <w:rFonts w:ascii="Times New Roman" w:hAnsi="Times New Roman" w:cs="Times New Roman"/>
              <w:noProof/>
              <w:lang w:val="en-GB"/>
            </w:rPr>
            <w:t xml:space="preserve"> The Big Data World: Benefits, Threats and Ethical Challanges. </w:t>
          </w:r>
          <w:r w:rsidRPr="008C2955">
            <w:rPr>
              <w:rFonts w:ascii="Times New Roman" w:hAnsi="Times New Roman" w:cs="Times New Roman"/>
              <w:i/>
              <w:iCs/>
              <w:noProof/>
              <w:lang w:val="en-GB"/>
            </w:rPr>
            <w:t xml:space="preserve">Ethical Issues in Covert, Security and Surveillance Research (Advances in Research Ethics and Integrity, Vol. 8). </w:t>
          </w:r>
          <w:r w:rsidRPr="008C2955">
            <w:rPr>
              <w:rFonts w:ascii="Times New Roman" w:hAnsi="Times New Roman" w:cs="Times New Roman"/>
              <w:noProof/>
              <w:lang w:val="en-GB"/>
            </w:rPr>
            <w:t>Leeds : Emerald Publishing Limited, 2021, pp. 71-91.</w:t>
          </w:r>
        </w:p>
        <w:p w14:paraId="782BF740" w14:textId="07A2631A" w:rsidR="009E6A9C" w:rsidRPr="008C2955" w:rsidRDefault="009E6A9C" w:rsidP="009E6A9C">
          <w:pPr>
            <w:pStyle w:val="Bibliography"/>
            <w:jc w:val="both"/>
            <w:rPr>
              <w:rFonts w:ascii="Times New Roman" w:hAnsi="Times New Roman" w:cs="Times New Roman"/>
              <w:noProof/>
              <w:lang w:val="en-GB"/>
            </w:rPr>
          </w:pPr>
          <w:r w:rsidRPr="008C2955">
            <w:rPr>
              <w:rFonts w:ascii="Times New Roman" w:hAnsi="Times New Roman" w:cs="Times New Roman"/>
              <w:b/>
              <w:bCs/>
              <w:noProof/>
              <w:lang w:val="en-GB"/>
            </w:rPr>
            <w:t>Boté, J., Térmens, M.</w:t>
          </w:r>
          <w:r w:rsidRPr="008C2955">
            <w:rPr>
              <w:rFonts w:ascii="Times New Roman" w:hAnsi="Times New Roman" w:cs="Times New Roman"/>
              <w:b/>
              <w:bCs/>
              <w:noProof/>
            </w:rPr>
            <w:t xml:space="preserve"> </w:t>
          </w:r>
          <w:r w:rsidRPr="008C2955">
            <w:rPr>
              <w:rFonts w:ascii="Times New Roman" w:hAnsi="Times New Roman" w:cs="Times New Roman"/>
              <w:i/>
              <w:iCs/>
              <w:noProof/>
              <w:lang w:val="en-GB"/>
            </w:rPr>
            <w:t xml:space="preserve">Reusing Data: Technical and Ethical Challenges. </w:t>
          </w:r>
          <w:r w:rsidRPr="008C2955">
            <w:rPr>
              <w:rFonts w:ascii="Times New Roman" w:hAnsi="Times New Roman" w:cs="Times New Roman"/>
              <w:noProof/>
              <w:lang w:val="en-GB"/>
            </w:rPr>
            <w:t>6, 2019, DESIDOC Journal of Library &amp; Information Technology, Vol. 39, pp. 329-337.</w:t>
          </w:r>
        </w:p>
        <w:p w14:paraId="49B958BF" w14:textId="1B94198B" w:rsidR="009E6A9C" w:rsidRPr="008C2955" w:rsidRDefault="009E6A9C" w:rsidP="009E6A9C">
          <w:pPr>
            <w:pStyle w:val="Bibliography"/>
            <w:jc w:val="both"/>
            <w:rPr>
              <w:rFonts w:ascii="Times New Roman" w:hAnsi="Times New Roman" w:cs="Times New Roman"/>
              <w:noProof/>
              <w:lang w:val="en-GB"/>
            </w:rPr>
          </w:pPr>
          <w:r w:rsidRPr="008C2955">
            <w:rPr>
              <w:rFonts w:ascii="Times New Roman" w:hAnsi="Times New Roman" w:cs="Times New Roman"/>
              <w:b/>
              <w:bCs/>
              <w:noProof/>
              <w:lang w:val="en-GB"/>
            </w:rPr>
            <w:t>Böhm, I., Lolagar, S.</w:t>
          </w:r>
          <w:r w:rsidRPr="008C2955">
            <w:rPr>
              <w:rFonts w:ascii="Times New Roman" w:hAnsi="Times New Roman" w:cs="Times New Roman"/>
              <w:noProof/>
              <w:lang w:val="en-GB"/>
            </w:rPr>
            <w:t xml:space="preserve"> </w:t>
          </w:r>
          <w:r w:rsidRPr="008C2955">
            <w:rPr>
              <w:rFonts w:ascii="Times New Roman" w:hAnsi="Times New Roman" w:cs="Times New Roman"/>
              <w:i/>
              <w:iCs/>
              <w:noProof/>
              <w:lang w:val="en-GB"/>
            </w:rPr>
            <w:t xml:space="preserve">Open Source Intelligence: Introduction, legal, and ethical considerations. </w:t>
          </w:r>
          <w:r w:rsidRPr="008C2955">
            <w:rPr>
              <w:rFonts w:ascii="Times New Roman" w:hAnsi="Times New Roman" w:cs="Times New Roman"/>
              <w:noProof/>
              <w:lang w:val="en-GB"/>
            </w:rPr>
            <w:t>s.l. : Springer, 2021, International Cybersecurity Law Review, Vol. 2, pp. 317-337.</w:t>
          </w:r>
        </w:p>
        <w:p w14:paraId="668E7306" w14:textId="29A355A9" w:rsidR="009E6A9C" w:rsidRPr="008C2955" w:rsidRDefault="009E6A9C" w:rsidP="009E6A9C">
          <w:pPr>
            <w:pStyle w:val="Bibliography"/>
            <w:jc w:val="both"/>
            <w:rPr>
              <w:rFonts w:ascii="Times New Roman" w:hAnsi="Times New Roman" w:cs="Times New Roman"/>
              <w:noProof/>
              <w:lang w:val="en-GB"/>
            </w:rPr>
          </w:pPr>
          <w:r w:rsidRPr="008C2955">
            <w:rPr>
              <w:rFonts w:ascii="Times New Roman" w:hAnsi="Times New Roman" w:cs="Times New Roman"/>
              <w:b/>
              <w:bCs/>
              <w:noProof/>
              <w:lang w:val="en-GB"/>
            </w:rPr>
            <w:t>Crawford, K., Schultz, J.</w:t>
          </w:r>
          <w:r w:rsidRPr="008C2955">
            <w:rPr>
              <w:rFonts w:ascii="Times New Roman" w:hAnsi="Times New Roman" w:cs="Times New Roman"/>
              <w:noProof/>
              <w:lang w:val="en-GB"/>
            </w:rPr>
            <w:t xml:space="preserve"> Big Data and Due Process: Toward a Framework to Redress Predictive Privacy Harms. </w:t>
          </w:r>
          <w:r w:rsidRPr="008C2955">
            <w:rPr>
              <w:rFonts w:ascii="Times New Roman" w:hAnsi="Times New Roman" w:cs="Times New Roman"/>
              <w:i/>
              <w:iCs/>
              <w:noProof/>
              <w:lang w:val="en-GB"/>
            </w:rPr>
            <w:t xml:space="preserve">Boston College Law Review. </w:t>
          </w:r>
          <w:r w:rsidRPr="008C2955">
            <w:rPr>
              <w:rFonts w:ascii="Times New Roman" w:hAnsi="Times New Roman" w:cs="Times New Roman"/>
              <w:noProof/>
              <w:lang w:val="en-GB"/>
            </w:rPr>
            <w:t>2013, Vol. 55, 93, pp. 93-128.</w:t>
          </w:r>
        </w:p>
        <w:p w14:paraId="01DF8CA4" w14:textId="54164E3F" w:rsidR="009E6A9C" w:rsidRPr="008C2955" w:rsidRDefault="009E6A9C" w:rsidP="009E6A9C">
          <w:pPr>
            <w:pStyle w:val="Bibliography"/>
            <w:jc w:val="both"/>
            <w:rPr>
              <w:rFonts w:ascii="Times New Roman" w:hAnsi="Times New Roman" w:cs="Times New Roman"/>
              <w:noProof/>
              <w:lang w:val="en-GB"/>
            </w:rPr>
          </w:pPr>
          <w:r w:rsidRPr="008C2955">
            <w:rPr>
              <w:rFonts w:ascii="Times New Roman" w:hAnsi="Times New Roman" w:cs="Times New Roman"/>
              <w:b/>
              <w:bCs/>
              <w:noProof/>
              <w:lang w:val="en-GB"/>
            </w:rPr>
            <w:t>De Hert, P., Gutwirth, S.</w:t>
          </w:r>
          <w:r w:rsidRPr="008C2955">
            <w:rPr>
              <w:rFonts w:ascii="Times New Roman" w:hAnsi="Times New Roman" w:cs="Times New Roman"/>
              <w:b/>
              <w:bCs/>
              <w:noProof/>
            </w:rPr>
            <w:t xml:space="preserve"> </w:t>
          </w:r>
          <w:r w:rsidRPr="008C2955">
            <w:rPr>
              <w:rFonts w:ascii="Times New Roman" w:hAnsi="Times New Roman" w:cs="Times New Roman"/>
              <w:i/>
              <w:iCs/>
              <w:noProof/>
              <w:lang w:val="en-GB"/>
            </w:rPr>
            <w:t xml:space="preserve">Interoperability of Police Databases Within the EU: An Accountable Political Choice? </w:t>
          </w:r>
          <w:r w:rsidRPr="008C2955">
            <w:rPr>
              <w:rFonts w:ascii="Times New Roman" w:hAnsi="Times New Roman" w:cs="Times New Roman"/>
              <w:noProof/>
              <w:lang w:val="en-GB"/>
            </w:rPr>
            <w:t>s.l. : Tilburg University, 2006, Tilburg University Legal Studies Working Paper No. 003/2006, TILT Law &amp; Technology Working Paper Series No. 001/2006.</w:t>
          </w:r>
        </w:p>
        <w:p w14:paraId="782332C9" w14:textId="43C64559" w:rsidR="009E6A9C" w:rsidRPr="008C2955" w:rsidRDefault="009E6A9C" w:rsidP="009E6A9C">
          <w:pPr>
            <w:pStyle w:val="Bibliography"/>
            <w:jc w:val="both"/>
            <w:rPr>
              <w:rFonts w:ascii="Times New Roman" w:hAnsi="Times New Roman" w:cs="Times New Roman"/>
              <w:noProof/>
              <w:lang w:val="en-GB"/>
            </w:rPr>
          </w:pPr>
          <w:r w:rsidRPr="008C2955">
            <w:rPr>
              <w:rFonts w:ascii="Times New Roman" w:hAnsi="Times New Roman" w:cs="Times New Roman"/>
              <w:b/>
              <w:bCs/>
              <w:noProof/>
              <w:lang w:val="en-GB"/>
            </w:rPr>
            <w:t>Forgó, N., et al.</w:t>
          </w:r>
          <w:r w:rsidRPr="008C2955">
            <w:rPr>
              <w:rFonts w:ascii="Times New Roman" w:hAnsi="Times New Roman" w:cs="Times New Roman"/>
              <w:noProof/>
              <w:lang w:val="en-GB"/>
            </w:rPr>
            <w:t xml:space="preserve"> </w:t>
          </w:r>
          <w:r w:rsidRPr="008C2955">
            <w:rPr>
              <w:rFonts w:ascii="Times New Roman" w:hAnsi="Times New Roman" w:cs="Times New Roman"/>
              <w:i/>
              <w:iCs/>
              <w:noProof/>
              <w:lang w:val="en-GB"/>
            </w:rPr>
            <w:t xml:space="preserve">An ethico-legal framework for social data science. </w:t>
          </w:r>
          <w:r w:rsidRPr="008C2955">
            <w:rPr>
              <w:rFonts w:ascii="Times New Roman" w:hAnsi="Times New Roman" w:cs="Times New Roman"/>
              <w:noProof/>
              <w:lang w:val="en-GB"/>
            </w:rPr>
            <w:t>2020, International Journal of Data Science and Analytics, Vol. 11, pp. 377-390.</w:t>
          </w:r>
        </w:p>
        <w:p w14:paraId="79604699" w14:textId="5F69FEE3" w:rsidR="009E6A9C" w:rsidRPr="008C2955" w:rsidRDefault="009E6A9C" w:rsidP="009E6A9C">
          <w:pPr>
            <w:pStyle w:val="Bibliography"/>
            <w:jc w:val="both"/>
            <w:rPr>
              <w:rFonts w:ascii="Times New Roman" w:hAnsi="Times New Roman" w:cs="Times New Roman"/>
              <w:noProof/>
              <w:lang w:val="en-GB"/>
            </w:rPr>
          </w:pPr>
          <w:r w:rsidRPr="008C2955">
            <w:rPr>
              <w:rFonts w:ascii="Times New Roman" w:hAnsi="Times New Roman" w:cs="Times New Roman"/>
              <w:b/>
              <w:bCs/>
              <w:noProof/>
              <w:lang w:val="en-GB"/>
            </w:rPr>
            <w:t>Ghioni, R., Taddeo, M., Floridi, L.</w:t>
          </w:r>
          <w:r w:rsidRPr="008C2955">
            <w:rPr>
              <w:rFonts w:ascii="Times New Roman" w:hAnsi="Times New Roman" w:cs="Times New Roman"/>
              <w:noProof/>
              <w:lang w:val="en-GB"/>
            </w:rPr>
            <w:t xml:space="preserve"> </w:t>
          </w:r>
          <w:r w:rsidRPr="008C2955">
            <w:rPr>
              <w:rFonts w:ascii="Times New Roman" w:hAnsi="Times New Roman" w:cs="Times New Roman"/>
              <w:i/>
              <w:iCs/>
              <w:noProof/>
              <w:lang w:val="en-GB"/>
            </w:rPr>
            <w:t xml:space="preserve">Open source intelligence and AI: a systematic review of the GELSI literature. </w:t>
          </w:r>
          <w:r w:rsidRPr="008C2955">
            <w:rPr>
              <w:rFonts w:ascii="Times New Roman" w:hAnsi="Times New Roman" w:cs="Times New Roman"/>
              <w:noProof/>
              <w:lang w:val="en-GB"/>
            </w:rPr>
            <w:t>s.l. : Springer, 2023, AI &amp; Society.</w:t>
          </w:r>
        </w:p>
        <w:p w14:paraId="7D815CFB" w14:textId="1EE7436F" w:rsidR="009E6A9C" w:rsidRPr="008C2955" w:rsidRDefault="009E6A9C" w:rsidP="009E6A9C">
          <w:pPr>
            <w:pStyle w:val="Bibliography"/>
            <w:jc w:val="both"/>
            <w:rPr>
              <w:rFonts w:ascii="Times New Roman" w:hAnsi="Times New Roman" w:cs="Times New Roman"/>
              <w:noProof/>
              <w:lang w:val="en-GB"/>
            </w:rPr>
          </w:pPr>
          <w:r w:rsidRPr="008C2955">
            <w:rPr>
              <w:rFonts w:ascii="Times New Roman" w:hAnsi="Times New Roman" w:cs="Times New Roman"/>
              <w:b/>
              <w:bCs/>
              <w:noProof/>
              <w:lang w:val="en-GB"/>
            </w:rPr>
            <w:t>Ivanjko, T. Dokman, T.</w:t>
          </w:r>
          <w:r w:rsidRPr="008C2955">
            <w:rPr>
              <w:rFonts w:ascii="Times New Roman" w:hAnsi="Times New Roman" w:cs="Times New Roman"/>
              <w:noProof/>
              <w:lang w:val="en-GB"/>
            </w:rPr>
            <w:t xml:space="preserve"> </w:t>
          </w:r>
          <w:r w:rsidRPr="008C2955">
            <w:rPr>
              <w:rFonts w:ascii="Times New Roman" w:hAnsi="Times New Roman" w:cs="Times New Roman"/>
              <w:i/>
              <w:iCs/>
              <w:noProof/>
              <w:lang w:val="en-GB"/>
            </w:rPr>
            <w:t xml:space="preserve">Open Source Intelligence (OSINT): Issues and Trends. </w:t>
          </w:r>
          <w:r w:rsidRPr="008C2955">
            <w:rPr>
              <w:rFonts w:ascii="Times New Roman" w:hAnsi="Times New Roman" w:cs="Times New Roman"/>
              <w:noProof/>
              <w:lang w:val="en-GB"/>
            </w:rPr>
            <w:t>2019. INFuture2019: Knowledge in the Digital Age.</w:t>
          </w:r>
        </w:p>
        <w:p w14:paraId="66D8FDB2" w14:textId="371FDD46" w:rsidR="009E6A9C" w:rsidRPr="008C2955" w:rsidRDefault="009E6A9C" w:rsidP="009E6A9C">
          <w:pPr>
            <w:pStyle w:val="Bibliography"/>
            <w:jc w:val="both"/>
            <w:rPr>
              <w:rFonts w:ascii="Times New Roman" w:hAnsi="Times New Roman" w:cs="Times New Roman"/>
              <w:noProof/>
              <w:lang w:val="en-GB"/>
            </w:rPr>
          </w:pPr>
          <w:r w:rsidRPr="008C2955">
            <w:rPr>
              <w:rFonts w:ascii="Times New Roman" w:hAnsi="Times New Roman" w:cs="Times New Roman"/>
              <w:b/>
              <w:bCs/>
              <w:noProof/>
              <w:lang w:val="en-GB"/>
            </w:rPr>
            <w:t>Kusak, M.</w:t>
          </w:r>
          <w:r w:rsidRPr="008C2955">
            <w:rPr>
              <w:rFonts w:ascii="Times New Roman" w:hAnsi="Times New Roman" w:cs="Times New Roman"/>
              <w:noProof/>
              <w:lang w:val="en-GB"/>
            </w:rPr>
            <w:t xml:space="preserve"> </w:t>
          </w:r>
          <w:r w:rsidRPr="008C2955">
            <w:rPr>
              <w:rFonts w:ascii="Times New Roman" w:hAnsi="Times New Roman" w:cs="Times New Roman"/>
              <w:i/>
              <w:iCs/>
              <w:noProof/>
              <w:lang w:val="en-GB"/>
            </w:rPr>
            <w:t xml:space="preserve">Quality of data sets that feed AI and big data applications for law enforcement. </w:t>
          </w:r>
          <w:r w:rsidRPr="008C2955">
            <w:rPr>
              <w:rFonts w:ascii="Times New Roman" w:hAnsi="Times New Roman" w:cs="Times New Roman"/>
              <w:noProof/>
              <w:lang w:val="en-GB"/>
            </w:rPr>
            <w:t>s.l. : Springer, 2022, ERA Forum, Vol. 23, pp. 209-219.</w:t>
          </w:r>
        </w:p>
        <w:p w14:paraId="2D8980E3" w14:textId="1B9A8B6C" w:rsidR="009E6A9C" w:rsidRPr="008C2955" w:rsidRDefault="009E6A9C" w:rsidP="009E6A9C">
          <w:pPr>
            <w:pStyle w:val="Bibliography"/>
            <w:jc w:val="both"/>
            <w:rPr>
              <w:rFonts w:ascii="Times New Roman" w:hAnsi="Times New Roman" w:cs="Times New Roman"/>
              <w:noProof/>
              <w:lang w:val="en-GB"/>
            </w:rPr>
          </w:pPr>
          <w:r w:rsidRPr="008C2955">
            <w:rPr>
              <w:rFonts w:ascii="Times New Roman" w:hAnsi="Times New Roman" w:cs="Times New Roman"/>
              <w:b/>
              <w:bCs/>
              <w:noProof/>
              <w:lang w:val="en-GB"/>
            </w:rPr>
            <w:t>Nazah, S., Huda, S., Abawaju, J., Hassan, M.</w:t>
          </w:r>
          <w:r w:rsidRPr="008C2955">
            <w:rPr>
              <w:rFonts w:ascii="Times New Roman" w:hAnsi="Times New Roman" w:cs="Times New Roman"/>
              <w:b/>
              <w:bCs/>
              <w:noProof/>
            </w:rPr>
            <w:t xml:space="preserve"> </w:t>
          </w:r>
          <w:r w:rsidRPr="008C2955">
            <w:rPr>
              <w:rFonts w:ascii="Times New Roman" w:hAnsi="Times New Roman" w:cs="Times New Roman"/>
              <w:i/>
              <w:iCs/>
              <w:noProof/>
              <w:lang w:val="en-GB"/>
            </w:rPr>
            <w:t xml:space="preserve">Evolution of Dark Web Threat Analysis and Detection: A Systematic Approach. </w:t>
          </w:r>
          <w:r w:rsidRPr="008C2955">
            <w:rPr>
              <w:rFonts w:ascii="Times New Roman" w:hAnsi="Times New Roman" w:cs="Times New Roman"/>
              <w:noProof/>
              <w:lang w:val="en-GB"/>
            </w:rPr>
            <w:t>2020, IEEE Access, Vol. 8, pp. 171796-171819.</w:t>
          </w:r>
        </w:p>
        <w:p w14:paraId="0F225B89" w14:textId="10E9DEAF" w:rsidR="009E6A9C" w:rsidRPr="008C2955" w:rsidRDefault="009E6A9C" w:rsidP="009E6A9C">
          <w:pPr>
            <w:pStyle w:val="Bibliography"/>
            <w:jc w:val="both"/>
            <w:rPr>
              <w:rFonts w:ascii="Times New Roman" w:hAnsi="Times New Roman" w:cs="Times New Roman"/>
              <w:noProof/>
              <w:lang w:val="en-GB"/>
            </w:rPr>
          </w:pPr>
          <w:r w:rsidRPr="008C2955">
            <w:rPr>
              <w:rFonts w:ascii="Times New Roman" w:hAnsi="Times New Roman" w:cs="Times New Roman"/>
              <w:b/>
              <w:bCs/>
              <w:noProof/>
              <w:lang w:val="en-GB"/>
            </w:rPr>
            <w:t>Scerri, S., Tuikka, T., de Vallejo, I.L., Curry, E.</w:t>
          </w:r>
          <w:r w:rsidRPr="008C2955">
            <w:rPr>
              <w:rFonts w:ascii="Times New Roman" w:hAnsi="Times New Roman" w:cs="Times New Roman"/>
              <w:noProof/>
              <w:lang w:val="en-GB"/>
            </w:rPr>
            <w:t xml:space="preserve"> Common European Data Spaces: Challanges and Opportunities. </w:t>
          </w:r>
          <w:r w:rsidRPr="008C2955">
            <w:rPr>
              <w:rFonts w:ascii="Times New Roman" w:hAnsi="Times New Roman" w:cs="Times New Roman"/>
              <w:i/>
              <w:iCs/>
              <w:noProof/>
              <w:lang w:val="en-GB"/>
            </w:rPr>
            <w:t xml:space="preserve">Data Spaces: Design, Deployment and Future Directions. </w:t>
          </w:r>
          <w:r w:rsidRPr="008C2955">
            <w:rPr>
              <w:rFonts w:ascii="Times New Roman" w:hAnsi="Times New Roman" w:cs="Times New Roman"/>
              <w:noProof/>
              <w:lang w:val="en-GB"/>
            </w:rPr>
            <w:t>s.l. : Springer, 2022, pp. 337-357.</w:t>
          </w:r>
        </w:p>
        <w:p w14:paraId="341E4CCB" w14:textId="2819FE49" w:rsidR="009E6A9C" w:rsidRPr="008C2955" w:rsidRDefault="009E6A9C" w:rsidP="009E6A9C">
          <w:pPr>
            <w:rPr>
              <w:lang w:val="en-GB"/>
            </w:rPr>
          </w:pPr>
          <w:r w:rsidRPr="008C2955">
            <w:rPr>
              <w:rFonts w:ascii="Times New Roman" w:hAnsi="Times New Roman" w:cs="Times New Roman"/>
              <w:b/>
              <w:bCs/>
              <w:noProof/>
              <w:lang w:val="en-GB"/>
            </w:rPr>
            <w:lastRenderedPageBreak/>
            <w:t>Shanley, D., et al.</w:t>
          </w:r>
          <w:r w:rsidRPr="008C2955">
            <w:rPr>
              <w:rFonts w:ascii="Times New Roman" w:hAnsi="Times New Roman" w:cs="Times New Roman"/>
              <w:noProof/>
              <w:lang w:val="en-GB"/>
            </w:rPr>
            <w:t xml:space="preserve"> </w:t>
          </w:r>
          <w:r w:rsidRPr="008C2955">
            <w:rPr>
              <w:rFonts w:ascii="Times New Roman" w:hAnsi="Times New Roman" w:cs="Times New Roman"/>
              <w:i/>
              <w:iCs/>
              <w:noProof/>
              <w:lang w:val="en-GB"/>
            </w:rPr>
            <w:t xml:space="preserve">Getting real about synthetic data ethics. </w:t>
          </w:r>
          <w:r w:rsidRPr="008C2955">
            <w:rPr>
              <w:rFonts w:ascii="Times New Roman" w:hAnsi="Times New Roman" w:cs="Times New Roman"/>
              <w:noProof/>
              <w:lang w:val="en-GB"/>
            </w:rPr>
            <w:t>s.l. : EMBO reports Volume 25, 2024. pp. 2152-2155.</w:t>
          </w:r>
        </w:p>
        <w:p w14:paraId="0974E02A" w14:textId="561103FF" w:rsidR="009E6A9C" w:rsidRPr="008C2955" w:rsidRDefault="009E6A9C" w:rsidP="009E6A9C">
          <w:pPr>
            <w:pStyle w:val="Bibliography"/>
            <w:jc w:val="both"/>
            <w:rPr>
              <w:rFonts w:ascii="Times New Roman" w:hAnsi="Times New Roman" w:cs="Times New Roman"/>
              <w:noProof/>
              <w:lang w:val="en-GB"/>
            </w:rPr>
          </w:pPr>
          <w:r w:rsidRPr="008C2955">
            <w:rPr>
              <w:rFonts w:ascii="Times New Roman" w:hAnsi="Times New Roman" w:cs="Times New Roman"/>
              <w:b/>
              <w:bCs/>
              <w:noProof/>
              <w:lang w:val="en-GB"/>
            </w:rPr>
            <w:t>Wessels, B., Finn, R., Sveinsdottir, T., Wadhwa, K.</w:t>
          </w:r>
          <w:r w:rsidRPr="008C2955">
            <w:rPr>
              <w:rFonts w:ascii="Times New Roman" w:hAnsi="Times New Roman" w:cs="Times New Roman"/>
              <w:noProof/>
              <w:lang w:val="en-GB"/>
            </w:rPr>
            <w:t xml:space="preserve"> </w:t>
          </w:r>
          <w:r w:rsidRPr="008C2955">
            <w:rPr>
              <w:rFonts w:ascii="Times New Roman" w:hAnsi="Times New Roman" w:cs="Times New Roman"/>
              <w:i/>
              <w:iCs/>
              <w:noProof/>
              <w:lang w:val="en-GB"/>
            </w:rPr>
            <w:t xml:space="preserve">Open Data and the Knowledge Society. </w:t>
          </w:r>
          <w:r w:rsidRPr="008C2955">
            <w:rPr>
              <w:rFonts w:ascii="Times New Roman" w:hAnsi="Times New Roman" w:cs="Times New Roman"/>
              <w:noProof/>
              <w:lang w:val="en-GB"/>
            </w:rPr>
            <w:t>s.l. : Amsterdam University Press, 2017. ISBN: 978-94-6298-018-1.</w:t>
          </w:r>
        </w:p>
        <w:p w14:paraId="63C86B9F" w14:textId="2B6D0345" w:rsidR="009E6A9C" w:rsidRPr="008C2955" w:rsidRDefault="009E6A9C" w:rsidP="009E6A9C">
          <w:pPr>
            <w:pStyle w:val="Bibliography"/>
            <w:jc w:val="both"/>
            <w:rPr>
              <w:lang w:val="en-GB"/>
            </w:rPr>
          </w:pPr>
          <w:r w:rsidRPr="008C2955">
            <w:rPr>
              <w:rFonts w:ascii="Times New Roman" w:hAnsi="Times New Roman" w:cs="Times New Roman"/>
              <w:b/>
              <w:bCs/>
              <w:noProof/>
              <w:lang w:val="en-GB"/>
            </w:rPr>
            <w:t>RAND Corporation</w:t>
          </w:r>
          <w:r w:rsidRPr="008C2955">
            <w:rPr>
              <w:rFonts w:ascii="Times New Roman" w:hAnsi="Times New Roman" w:cs="Times New Roman"/>
              <w:b/>
              <w:bCs/>
              <w:noProof/>
            </w:rPr>
            <w:t xml:space="preserve"> </w:t>
          </w:r>
          <w:r w:rsidRPr="008C2955">
            <w:rPr>
              <w:rFonts w:ascii="Times New Roman" w:hAnsi="Times New Roman" w:cs="Times New Roman"/>
              <w:b/>
              <w:bCs/>
              <w:noProof/>
              <w:lang w:val="en-US"/>
            </w:rPr>
            <w:t>(Williams, H.J., Blum, I.)</w:t>
          </w:r>
          <w:r w:rsidRPr="008C2955">
            <w:rPr>
              <w:rFonts w:ascii="Times New Roman" w:hAnsi="Times New Roman" w:cs="Times New Roman"/>
              <w:b/>
              <w:bCs/>
              <w:noProof/>
              <w:lang w:val="en-GB"/>
            </w:rPr>
            <w:t>.</w:t>
          </w:r>
          <w:r w:rsidRPr="008C2955">
            <w:rPr>
              <w:rFonts w:ascii="Times New Roman" w:hAnsi="Times New Roman" w:cs="Times New Roman"/>
              <w:noProof/>
              <w:lang w:val="en-GB"/>
            </w:rPr>
            <w:t xml:space="preserve"> </w:t>
          </w:r>
          <w:r w:rsidRPr="008C2955">
            <w:rPr>
              <w:rFonts w:ascii="Times New Roman" w:hAnsi="Times New Roman" w:cs="Times New Roman"/>
              <w:i/>
              <w:iCs/>
              <w:noProof/>
              <w:lang w:val="en-GB"/>
            </w:rPr>
            <w:t xml:space="preserve">Defining Second Generation Open Source Intelligence (OSINT) for the Defence Enterprise. </w:t>
          </w:r>
          <w:r w:rsidRPr="008C2955">
            <w:rPr>
              <w:rFonts w:ascii="Times New Roman" w:hAnsi="Times New Roman" w:cs="Times New Roman"/>
              <w:noProof/>
              <w:lang w:val="en-GB"/>
            </w:rPr>
            <w:t>s.l. : RAND Corporation, 2018. ISBN: 978-0-8330-9883-2.</w:t>
          </w:r>
        </w:p>
        <w:p w14:paraId="1AD58DBA" w14:textId="3AE7F903" w:rsidR="009E6A9C" w:rsidRPr="008C2955" w:rsidRDefault="009E6A9C" w:rsidP="009E6A9C">
          <w:pPr>
            <w:pStyle w:val="Bibliography"/>
            <w:jc w:val="both"/>
            <w:rPr>
              <w:rFonts w:ascii="Times New Roman" w:hAnsi="Times New Roman" w:cs="Times New Roman"/>
              <w:noProof/>
              <w:lang w:val="en-GB"/>
            </w:rPr>
          </w:pPr>
          <w:r w:rsidRPr="008C2955">
            <w:rPr>
              <w:rFonts w:ascii="Times New Roman" w:hAnsi="Times New Roman" w:cs="Times New Roman"/>
              <w:b/>
              <w:bCs/>
              <w:noProof/>
              <w:lang w:val="en-GB"/>
            </w:rPr>
            <w:t>Yadav, A., Kumar, A., Singh, V.</w:t>
          </w:r>
          <w:r w:rsidRPr="008C2955">
            <w:rPr>
              <w:rFonts w:ascii="Times New Roman" w:hAnsi="Times New Roman" w:cs="Times New Roman"/>
              <w:noProof/>
              <w:lang w:val="en-GB"/>
            </w:rPr>
            <w:t xml:space="preserve"> </w:t>
          </w:r>
          <w:r w:rsidRPr="5F1E6574">
            <w:rPr>
              <w:rFonts w:ascii="Times New Roman" w:hAnsi="Times New Roman" w:cs="Times New Roman"/>
              <w:i/>
              <w:iCs/>
              <w:noProof/>
              <w:lang w:val="en-GB"/>
            </w:rPr>
            <w:t>Opensource</w:t>
          </w:r>
          <w:r w:rsidRPr="008C2955">
            <w:rPr>
              <w:rFonts w:ascii="Times New Roman" w:hAnsi="Times New Roman" w:cs="Times New Roman"/>
              <w:i/>
              <w:iCs/>
              <w:noProof/>
              <w:lang w:val="en-GB"/>
            </w:rPr>
            <w:t xml:space="preserve"> intelligence: a comprehensive review of the current state, applications and future perspectives in cyber security. </w:t>
          </w:r>
          <w:r w:rsidRPr="008C2955">
            <w:rPr>
              <w:rFonts w:ascii="Times New Roman" w:hAnsi="Times New Roman" w:cs="Times New Roman"/>
              <w:noProof/>
              <w:lang w:val="en-GB"/>
            </w:rPr>
            <w:t>2023, Artifcial Intelligence Review, Vol. 56, pp. 12407-12438.</w:t>
          </w:r>
        </w:p>
        <w:p w14:paraId="27303A96" w14:textId="13750059" w:rsidR="004A752E" w:rsidRDefault="004A752E" w:rsidP="188666AD">
          <w:pPr>
            <w:jc w:val="both"/>
            <w:rPr>
              <w:rFonts w:ascii="Times New Roman" w:hAnsi="Times New Roman" w:cs="Times New Roman"/>
            </w:rPr>
          </w:pPr>
        </w:p>
        <w:p w14:paraId="6DC309FC" w14:textId="59D75DEC" w:rsidR="004A752E" w:rsidRDefault="004A752E" w:rsidP="188666AD">
          <w:pPr>
            <w:shd w:val="clear" w:color="auto" w:fill="FFFFFF" w:themeFill="background1"/>
            <w:spacing w:after="0" w:line="300" w:lineRule="auto"/>
          </w:pPr>
        </w:p>
        <w:p w14:paraId="7D5D54A6" w14:textId="63E24BC5" w:rsidR="29B635C3" w:rsidRDefault="29B635C3" w:rsidP="29B635C3">
          <w:pPr>
            <w:shd w:val="clear" w:color="auto" w:fill="FFFFFF" w:themeFill="background1"/>
            <w:spacing w:after="0" w:line="300" w:lineRule="auto"/>
          </w:pPr>
        </w:p>
        <w:p w14:paraId="73ADB3CB" w14:textId="720A7749" w:rsidR="29B635C3" w:rsidRDefault="29B635C3" w:rsidP="29B635C3">
          <w:pPr>
            <w:shd w:val="clear" w:color="auto" w:fill="FFFFFF" w:themeFill="background1"/>
            <w:spacing w:after="0" w:line="300" w:lineRule="auto"/>
          </w:pPr>
        </w:p>
        <w:p w14:paraId="7B9F9429" w14:textId="159391E0" w:rsidR="29B635C3" w:rsidRDefault="29B635C3" w:rsidP="29B635C3">
          <w:pPr>
            <w:shd w:val="clear" w:color="auto" w:fill="FFFFFF" w:themeFill="background1"/>
            <w:spacing w:after="0" w:line="300" w:lineRule="auto"/>
          </w:pPr>
        </w:p>
        <w:p w14:paraId="3210204C" w14:textId="56EA9254" w:rsidR="29B635C3" w:rsidRDefault="29B635C3" w:rsidP="29B635C3">
          <w:pPr>
            <w:shd w:val="clear" w:color="auto" w:fill="FFFFFF" w:themeFill="background1"/>
            <w:spacing w:after="0" w:line="300" w:lineRule="auto"/>
          </w:pPr>
        </w:p>
        <w:p w14:paraId="5AAAB54E" w14:textId="727E7B98" w:rsidR="29B635C3" w:rsidRDefault="29B635C3" w:rsidP="29B635C3">
          <w:pPr>
            <w:shd w:val="clear" w:color="auto" w:fill="FFFFFF" w:themeFill="background1"/>
            <w:spacing w:after="0" w:line="300" w:lineRule="auto"/>
          </w:pPr>
        </w:p>
        <w:p w14:paraId="59748270" w14:textId="77DB085B" w:rsidR="29B635C3" w:rsidRDefault="29B635C3" w:rsidP="29B635C3">
          <w:pPr>
            <w:shd w:val="clear" w:color="auto" w:fill="FFFFFF" w:themeFill="background1"/>
            <w:spacing w:after="0" w:line="300" w:lineRule="auto"/>
          </w:pPr>
        </w:p>
        <w:p w14:paraId="5A3E31AD" w14:textId="1824DBC1" w:rsidR="29B635C3" w:rsidRDefault="29B635C3" w:rsidP="29B635C3">
          <w:pPr>
            <w:shd w:val="clear" w:color="auto" w:fill="FFFFFF" w:themeFill="background1"/>
            <w:spacing w:after="0" w:line="300" w:lineRule="auto"/>
          </w:pPr>
        </w:p>
        <w:p w14:paraId="49A5012A" w14:textId="5B6E2861" w:rsidR="29B635C3" w:rsidRDefault="29B635C3" w:rsidP="29B635C3">
          <w:pPr>
            <w:shd w:val="clear" w:color="auto" w:fill="FFFFFF" w:themeFill="background1"/>
            <w:spacing w:after="0" w:line="300" w:lineRule="auto"/>
          </w:pPr>
        </w:p>
        <w:p w14:paraId="43DBC4E6" w14:textId="6E158E5F" w:rsidR="29B635C3" w:rsidRDefault="29B635C3" w:rsidP="29B635C3">
          <w:pPr>
            <w:shd w:val="clear" w:color="auto" w:fill="FFFFFF" w:themeFill="background1"/>
            <w:spacing w:after="0" w:line="300" w:lineRule="auto"/>
          </w:pPr>
        </w:p>
        <w:p w14:paraId="4CADCA5B" w14:textId="42713C7F" w:rsidR="29B635C3" w:rsidRDefault="29B635C3" w:rsidP="29B635C3">
          <w:pPr>
            <w:shd w:val="clear" w:color="auto" w:fill="FFFFFF" w:themeFill="background1"/>
            <w:spacing w:after="0" w:line="300" w:lineRule="auto"/>
          </w:pPr>
        </w:p>
        <w:p w14:paraId="0F66E30F" w14:textId="1E9E1485" w:rsidR="004A752E" w:rsidRDefault="00F5232C" w:rsidP="188666AD">
          <w:pPr>
            <w:jc w:val="both"/>
            <w:rPr>
              <w:rFonts w:ascii="Times New Roman" w:hAnsi="Times New Roman" w:cs="Times New Roman"/>
            </w:rPr>
          </w:pPr>
        </w:p>
      </w:sdtContent>
    </w:sdt>
    <w:p w14:paraId="79217A2E" w14:textId="77777777" w:rsidR="004A752E" w:rsidRPr="00C30A94" w:rsidRDefault="004A752E" w:rsidP="004A752E">
      <w:pPr>
        <w:jc w:val="center"/>
        <w:rPr>
          <w:rFonts w:ascii="Times New Roman" w:hAnsi="Times New Roman" w:cs="Times New Roman"/>
          <w:b/>
          <w:bCs/>
          <w:sz w:val="28"/>
          <w:szCs w:val="28"/>
        </w:rPr>
      </w:pPr>
      <w:r w:rsidRPr="00C30A94">
        <w:rPr>
          <w:rFonts w:ascii="Times New Roman" w:hAnsi="Times New Roman" w:cs="Times New Roman"/>
          <w:b/>
          <w:bCs/>
          <w:sz w:val="28"/>
          <w:szCs w:val="28"/>
        </w:rPr>
        <w:t>TRENDS IN SHARED SECURITY DATA</w:t>
      </w:r>
    </w:p>
    <w:p w14:paraId="14593EB5" w14:textId="77777777" w:rsidR="004A752E" w:rsidRPr="00C30A94" w:rsidRDefault="004A752E" w:rsidP="004A752E">
      <w:pPr>
        <w:ind w:firstLine="720"/>
        <w:jc w:val="both"/>
        <w:rPr>
          <w:rFonts w:ascii="Times New Roman" w:hAnsi="Times New Roman" w:cs="Times New Roman"/>
          <w:sz w:val="28"/>
          <w:szCs w:val="28"/>
        </w:rPr>
      </w:pPr>
    </w:p>
    <w:p w14:paraId="3EC7734E" w14:textId="77777777" w:rsidR="004A752E" w:rsidRPr="00C30A94" w:rsidRDefault="004A752E" w:rsidP="004A752E">
      <w:pPr>
        <w:ind w:firstLine="720"/>
        <w:jc w:val="both"/>
        <w:rPr>
          <w:rFonts w:ascii="Times New Roman" w:hAnsi="Times New Roman" w:cs="Times New Roman"/>
          <w:i/>
          <w:iCs/>
        </w:rPr>
      </w:pPr>
      <w:r w:rsidRPr="00C30A94">
        <w:rPr>
          <w:rFonts w:ascii="Times New Roman" w:hAnsi="Times New Roman" w:cs="Times New Roman"/>
          <w:b/>
          <w:bCs/>
        </w:rPr>
        <w:t>Abstract:</w:t>
      </w:r>
      <w:r w:rsidRPr="00C30A94">
        <w:rPr>
          <w:rFonts w:ascii="Times New Roman" w:hAnsi="Times New Roman" w:cs="Times New Roman"/>
        </w:rPr>
        <w:t xml:space="preserve"> </w:t>
      </w:r>
      <w:r w:rsidRPr="00C30A94">
        <w:rPr>
          <w:rFonts w:ascii="Times New Roman" w:hAnsi="Times New Roman" w:cs="Times New Roman"/>
          <w:i/>
          <w:iCs/>
        </w:rPr>
        <w:t>The current paper seeks to explore the development of the legal framework related to the European Data Strategy in the field of security and related to the exchange of datasets between law enforcement authorities. The text will delve into and compare the categories of open data and data available in open-source intelligence investigations.</w:t>
      </w:r>
    </w:p>
    <w:p w14:paraId="049F511B" w14:textId="77777777" w:rsidR="004A752E" w:rsidRDefault="004A752E" w:rsidP="004A752E">
      <w:pPr>
        <w:ind w:firstLine="720"/>
        <w:jc w:val="both"/>
        <w:rPr>
          <w:rFonts w:ascii="Times New Roman" w:hAnsi="Times New Roman" w:cs="Times New Roman"/>
          <w:i/>
          <w:iCs/>
        </w:rPr>
      </w:pPr>
      <w:r w:rsidRPr="00C30A94">
        <w:rPr>
          <w:rFonts w:ascii="Times New Roman" w:hAnsi="Times New Roman" w:cs="Times New Roman"/>
          <w:b/>
          <w:bCs/>
        </w:rPr>
        <w:t>Keywords:</w:t>
      </w:r>
      <w:r w:rsidRPr="00C30A94">
        <w:rPr>
          <w:rFonts w:ascii="Times New Roman" w:hAnsi="Times New Roman" w:cs="Times New Roman"/>
        </w:rPr>
        <w:t xml:space="preserve"> </w:t>
      </w:r>
      <w:r w:rsidRPr="00C30A94">
        <w:rPr>
          <w:rFonts w:ascii="Times New Roman" w:hAnsi="Times New Roman" w:cs="Times New Roman"/>
          <w:i/>
          <w:iCs/>
        </w:rPr>
        <w:t>security; data; open data; interoperability</w:t>
      </w:r>
    </w:p>
    <w:p w14:paraId="6EF71D25" w14:textId="77777777" w:rsidR="004A752E" w:rsidRDefault="004A752E" w:rsidP="004A752E">
      <w:pPr>
        <w:ind w:firstLine="720"/>
        <w:jc w:val="both"/>
        <w:rPr>
          <w:rFonts w:ascii="Times New Roman" w:hAnsi="Times New Roman" w:cs="Times New Roman"/>
          <w:i/>
          <w:iCs/>
        </w:rPr>
      </w:pPr>
    </w:p>
    <w:p w14:paraId="19261851" w14:textId="77777777" w:rsidR="004A752E" w:rsidRDefault="004A752E" w:rsidP="29B635C3">
      <w:pPr>
        <w:jc w:val="both"/>
        <w:rPr>
          <w:rFonts w:ascii="Times New Roman" w:hAnsi="Times New Roman" w:cs="Times New Roman"/>
          <w:sz w:val="20"/>
          <w:szCs w:val="20"/>
        </w:rPr>
      </w:pPr>
      <w:r>
        <w:rPr>
          <w:rFonts w:ascii="Times New Roman" w:hAnsi="Times New Roman" w:cs="Times New Roman"/>
          <w:sz w:val="20"/>
          <w:szCs w:val="20"/>
        </w:rPr>
        <w:t>Information on the author:</w:t>
      </w:r>
    </w:p>
    <w:p w14:paraId="657FA946" w14:textId="77777777" w:rsidR="004A752E" w:rsidRDefault="004A752E" w:rsidP="29B635C3">
      <w:pPr>
        <w:spacing w:after="0"/>
        <w:jc w:val="both"/>
        <w:rPr>
          <w:rFonts w:ascii="Times New Roman" w:hAnsi="Times New Roman" w:cs="Times New Roman"/>
          <w:sz w:val="20"/>
          <w:szCs w:val="20"/>
        </w:rPr>
      </w:pPr>
      <w:r>
        <w:rPr>
          <w:rFonts w:ascii="Times New Roman" w:hAnsi="Times New Roman" w:cs="Times New Roman"/>
          <w:sz w:val="20"/>
          <w:szCs w:val="20"/>
        </w:rPr>
        <w:lastRenderedPageBreak/>
        <w:t xml:space="preserve">Martina Ilieva Bogdanova, Law and Internet Foundation, </w:t>
      </w:r>
      <w:proofErr w:type="spellStart"/>
      <w:r w:rsidRPr="003208A6">
        <w:rPr>
          <w:rFonts w:ascii="Times New Roman" w:hAnsi="Times New Roman" w:cs="Times New Roman"/>
          <w:sz w:val="20"/>
          <w:szCs w:val="20"/>
        </w:rPr>
        <w:t>ORCiD</w:t>
      </w:r>
      <w:proofErr w:type="spellEnd"/>
      <w:r w:rsidRPr="003208A6">
        <w:rPr>
          <w:rFonts w:ascii="Times New Roman" w:hAnsi="Times New Roman" w:cs="Times New Roman"/>
          <w:sz w:val="20"/>
          <w:szCs w:val="20"/>
        </w:rPr>
        <w:t xml:space="preserve"> ID: </w:t>
      </w:r>
      <w:hyperlink r:id="rId10">
        <w:r w:rsidRPr="1CD3BEFB">
          <w:rPr>
            <w:rStyle w:val="Hyperlink"/>
            <w:rFonts w:ascii="Times New Roman" w:hAnsi="Times New Roman" w:cs="Times New Roman"/>
            <w:sz w:val="20"/>
            <w:szCs w:val="20"/>
          </w:rPr>
          <w:t>0009-0001-3485-2362</w:t>
        </w:r>
      </w:hyperlink>
    </w:p>
    <w:p w14:paraId="07C875D5" w14:textId="56271557" w:rsidR="004A752E" w:rsidRPr="00BC6887" w:rsidRDefault="004A752E" w:rsidP="004A752E">
      <w:pPr>
        <w:jc w:val="both"/>
        <w:rPr>
          <w:rFonts w:ascii="Times New Roman" w:hAnsi="Times New Roman" w:cs="Times New Roman"/>
          <w:sz w:val="28"/>
          <w:szCs w:val="28"/>
        </w:rPr>
      </w:pPr>
      <w:r w:rsidRPr="29B635C3">
        <w:rPr>
          <w:rFonts w:ascii="Times New Roman" w:hAnsi="Times New Roman" w:cs="Times New Roman"/>
          <w:sz w:val="20"/>
          <w:szCs w:val="20"/>
        </w:rPr>
        <w:t xml:space="preserve"> E-mail: </w:t>
      </w:r>
      <w:hyperlink r:id="rId11">
        <w:r w:rsidRPr="29B635C3">
          <w:rPr>
            <w:rStyle w:val="Hyperlink"/>
            <w:rFonts w:ascii="Times New Roman" w:hAnsi="Times New Roman" w:cs="Times New Roman"/>
            <w:sz w:val="20"/>
            <w:szCs w:val="20"/>
          </w:rPr>
          <w:t>martina.bogdanova@netlaw.bg</w:t>
        </w:r>
      </w:hyperlink>
    </w:p>
    <w:p w14:paraId="7ACA3D79" w14:textId="77777777" w:rsidR="00BC6887" w:rsidRPr="00731FA5" w:rsidRDefault="00BC6887" w:rsidP="00731FA5"/>
    <w:p w14:paraId="2C787161" w14:textId="77777777" w:rsidR="0091149A" w:rsidRDefault="0091149A" w:rsidP="00BC68F0"/>
    <w:p w14:paraId="5D681FDE" w14:textId="77777777" w:rsidR="00EA53EB" w:rsidRDefault="00EA53EB" w:rsidP="00DF4D8A"/>
    <w:p w14:paraId="2C078E63" w14:textId="2523BFFD" w:rsidR="007C12F0" w:rsidRDefault="007C12F0" w:rsidP="00DF4D8A"/>
    <w:sectPr w:rsidR="007C12F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9D6E35" w14:textId="77777777" w:rsidR="000A17CD" w:rsidRDefault="000A17CD" w:rsidP="000075F6">
      <w:pPr>
        <w:spacing w:after="0" w:line="240" w:lineRule="auto"/>
      </w:pPr>
      <w:r>
        <w:separator/>
      </w:r>
    </w:p>
  </w:endnote>
  <w:endnote w:type="continuationSeparator" w:id="0">
    <w:p w14:paraId="6AD88A9B" w14:textId="77777777" w:rsidR="000A17CD" w:rsidRDefault="000A17CD" w:rsidP="000075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CC"/>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C95C97" w14:textId="77777777" w:rsidR="000A17CD" w:rsidRDefault="000A17CD" w:rsidP="000075F6">
      <w:pPr>
        <w:spacing w:after="0" w:line="240" w:lineRule="auto"/>
      </w:pPr>
      <w:r>
        <w:separator/>
      </w:r>
    </w:p>
  </w:footnote>
  <w:footnote w:type="continuationSeparator" w:id="0">
    <w:p w14:paraId="1F5B3AD7" w14:textId="77777777" w:rsidR="000A17CD" w:rsidRDefault="000A17CD" w:rsidP="000075F6">
      <w:pPr>
        <w:spacing w:after="0" w:line="240" w:lineRule="auto"/>
      </w:pPr>
      <w:r>
        <w:continuationSeparator/>
      </w:r>
    </w:p>
  </w:footnote>
</w:footnote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21A25EB"/>
    <w:rsid w:val="00000181"/>
    <w:rsid w:val="00005596"/>
    <w:rsid w:val="000075F6"/>
    <w:rsid w:val="000078A3"/>
    <w:rsid w:val="0001170F"/>
    <w:rsid w:val="000223D1"/>
    <w:rsid w:val="00025D71"/>
    <w:rsid w:val="0004090E"/>
    <w:rsid w:val="00042220"/>
    <w:rsid w:val="0004364E"/>
    <w:rsid w:val="00053315"/>
    <w:rsid w:val="0009161F"/>
    <w:rsid w:val="000A17CD"/>
    <w:rsid w:val="000A3CAC"/>
    <w:rsid w:val="000A755E"/>
    <w:rsid w:val="000C0CF9"/>
    <w:rsid w:val="000F32DD"/>
    <w:rsid w:val="00105CF7"/>
    <w:rsid w:val="0013360B"/>
    <w:rsid w:val="0015261C"/>
    <w:rsid w:val="00163FE0"/>
    <w:rsid w:val="001A0CFF"/>
    <w:rsid w:val="001B4EFC"/>
    <w:rsid w:val="001C1570"/>
    <w:rsid w:val="001C16FC"/>
    <w:rsid w:val="001C34CE"/>
    <w:rsid w:val="00202B3B"/>
    <w:rsid w:val="0022733B"/>
    <w:rsid w:val="00240720"/>
    <w:rsid w:val="0028301B"/>
    <w:rsid w:val="002C04CE"/>
    <w:rsid w:val="002C2FE2"/>
    <w:rsid w:val="002D121C"/>
    <w:rsid w:val="00300E33"/>
    <w:rsid w:val="00316422"/>
    <w:rsid w:val="00320F52"/>
    <w:rsid w:val="003264C4"/>
    <w:rsid w:val="00357673"/>
    <w:rsid w:val="00363B5C"/>
    <w:rsid w:val="00365359"/>
    <w:rsid w:val="003A745A"/>
    <w:rsid w:val="003C6F6C"/>
    <w:rsid w:val="003D6ED5"/>
    <w:rsid w:val="003E3855"/>
    <w:rsid w:val="0040265F"/>
    <w:rsid w:val="00423399"/>
    <w:rsid w:val="00424465"/>
    <w:rsid w:val="00432846"/>
    <w:rsid w:val="00447B83"/>
    <w:rsid w:val="0047085B"/>
    <w:rsid w:val="004777F1"/>
    <w:rsid w:val="004A752E"/>
    <w:rsid w:val="004C0348"/>
    <w:rsid w:val="004D2AD0"/>
    <w:rsid w:val="004E64B2"/>
    <w:rsid w:val="005671A5"/>
    <w:rsid w:val="0056E4C3"/>
    <w:rsid w:val="0057176D"/>
    <w:rsid w:val="00574515"/>
    <w:rsid w:val="00577575"/>
    <w:rsid w:val="00583821"/>
    <w:rsid w:val="00590E7B"/>
    <w:rsid w:val="005B141B"/>
    <w:rsid w:val="005C624C"/>
    <w:rsid w:val="005E3395"/>
    <w:rsid w:val="005F4EB2"/>
    <w:rsid w:val="00630A98"/>
    <w:rsid w:val="00631338"/>
    <w:rsid w:val="006363E5"/>
    <w:rsid w:val="00644DD1"/>
    <w:rsid w:val="00673764"/>
    <w:rsid w:val="00691BD0"/>
    <w:rsid w:val="006D30B6"/>
    <w:rsid w:val="006E05BD"/>
    <w:rsid w:val="006F27AD"/>
    <w:rsid w:val="00730A36"/>
    <w:rsid w:val="00730C55"/>
    <w:rsid w:val="00731FA5"/>
    <w:rsid w:val="00746D0C"/>
    <w:rsid w:val="00753F60"/>
    <w:rsid w:val="0077547A"/>
    <w:rsid w:val="00782DC5"/>
    <w:rsid w:val="00795EA3"/>
    <w:rsid w:val="00796A27"/>
    <w:rsid w:val="007A1219"/>
    <w:rsid w:val="007A721E"/>
    <w:rsid w:val="007B34C7"/>
    <w:rsid w:val="007C12C0"/>
    <w:rsid w:val="007C12F0"/>
    <w:rsid w:val="007C28A9"/>
    <w:rsid w:val="007C29DD"/>
    <w:rsid w:val="007C3046"/>
    <w:rsid w:val="007E0C05"/>
    <w:rsid w:val="007F2377"/>
    <w:rsid w:val="007F3C5E"/>
    <w:rsid w:val="007F4756"/>
    <w:rsid w:val="00814031"/>
    <w:rsid w:val="00821685"/>
    <w:rsid w:val="00833BAB"/>
    <w:rsid w:val="0083588C"/>
    <w:rsid w:val="0084573E"/>
    <w:rsid w:val="00845966"/>
    <w:rsid w:val="00850426"/>
    <w:rsid w:val="00862227"/>
    <w:rsid w:val="00882DBB"/>
    <w:rsid w:val="00886A73"/>
    <w:rsid w:val="008A0175"/>
    <w:rsid w:val="008A1FAD"/>
    <w:rsid w:val="008C291C"/>
    <w:rsid w:val="008C60CC"/>
    <w:rsid w:val="008D190C"/>
    <w:rsid w:val="008D3357"/>
    <w:rsid w:val="008D40DD"/>
    <w:rsid w:val="008D7B3A"/>
    <w:rsid w:val="008F2598"/>
    <w:rsid w:val="008F365D"/>
    <w:rsid w:val="00910CCC"/>
    <w:rsid w:val="0091149A"/>
    <w:rsid w:val="009124B9"/>
    <w:rsid w:val="009231C8"/>
    <w:rsid w:val="00936DA7"/>
    <w:rsid w:val="009542EA"/>
    <w:rsid w:val="009873FB"/>
    <w:rsid w:val="009C75EB"/>
    <w:rsid w:val="009D6CEB"/>
    <w:rsid w:val="009D6E7F"/>
    <w:rsid w:val="009E6A9C"/>
    <w:rsid w:val="00A27CD0"/>
    <w:rsid w:val="00A343E2"/>
    <w:rsid w:val="00A71A86"/>
    <w:rsid w:val="00A77F96"/>
    <w:rsid w:val="00A9736C"/>
    <w:rsid w:val="00AB0E73"/>
    <w:rsid w:val="00AB2EDD"/>
    <w:rsid w:val="00AB3B44"/>
    <w:rsid w:val="00AC2F70"/>
    <w:rsid w:val="00AC6D15"/>
    <w:rsid w:val="00AD5E3E"/>
    <w:rsid w:val="00AE298C"/>
    <w:rsid w:val="00AE6ACA"/>
    <w:rsid w:val="00AF1FAE"/>
    <w:rsid w:val="00B07CE0"/>
    <w:rsid w:val="00B12F70"/>
    <w:rsid w:val="00B16F4F"/>
    <w:rsid w:val="00B44445"/>
    <w:rsid w:val="00B46D90"/>
    <w:rsid w:val="00B561F3"/>
    <w:rsid w:val="00B63997"/>
    <w:rsid w:val="00B8177C"/>
    <w:rsid w:val="00BB1BD1"/>
    <w:rsid w:val="00BB2A39"/>
    <w:rsid w:val="00BB3DDC"/>
    <w:rsid w:val="00BC6887"/>
    <w:rsid w:val="00BC68F0"/>
    <w:rsid w:val="00BE4688"/>
    <w:rsid w:val="00BF2CA7"/>
    <w:rsid w:val="00BF6059"/>
    <w:rsid w:val="00C01742"/>
    <w:rsid w:val="00C33246"/>
    <w:rsid w:val="00C37E02"/>
    <w:rsid w:val="00C504A3"/>
    <w:rsid w:val="00C55AD1"/>
    <w:rsid w:val="00C71703"/>
    <w:rsid w:val="00C905E0"/>
    <w:rsid w:val="00C95806"/>
    <w:rsid w:val="00C95FA4"/>
    <w:rsid w:val="00C9600B"/>
    <w:rsid w:val="00CF3C96"/>
    <w:rsid w:val="00CF4BA1"/>
    <w:rsid w:val="00D0261F"/>
    <w:rsid w:val="00D074D6"/>
    <w:rsid w:val="00D24B4D"/>
    <w:rsid w:val="00D27EE8"/>
    <w:rsid w:val="00D33242"/>
    <w:rsid w:val="00D443F0"/>
    <w:rsid w:val="00D47F96"/>
    <w:rsid w:val="00D70524"/>
    <w:rsid w:val="00D71C89"/>
    <w:rsid w:val="00D77340"/>
    <w:rsid w:val="00D92071"/>
    <w:rsid w:val="00DC0A56"/>
    <w:rsid w:val="00DE1EE4"/>
    <w:rsid w:val="00DF4D8A"/>
    <w:rsid w:val="00E07F9D"/>
    <w:rsid w:val="00E1526D"/>
    <w:rsid w:val="00E20483"/>
    <w:rsid w:val="00E22CD9"/>
    <w:rsid w:val="00E31540"/>
    <w:rsid w:val="00E87037"/>
    <w:rsid w:val="00EA53EB"/>
    <w:rsid w:val="00EA5A0B"/>
    <w:rsid w:val="00EC47AD"/>
    <w:rsid w:val="00EC5F91"/>
    <w:rsid w:val="00EC7781"/>
    <w:rsid w:val="00EE1C74"/>
    <w:rsid w:val="00EE2363"/>
    <w:rsid w:val="00F100A6"/>
    <w:rsid w:val="00F1514F"/>
    <w:rsid w:val="00F5232C"/>
    <w:rsid w:val="00F545E7"/>
    <w:rsid w:val="00F619B5"/>
    <w:rsid w:val="00F65054"/>
    <w:rsid w:val="00F72C63"/>
    <w:rsid w:val="00F8401F"/>
    <w:rsid w:val="00FA3257"/>
    <w:rsid w:val="00FA42C9"/>
    <w:rsid w:val="00FC6B90"/>
    <w:rsid w:val="00FD1F0E"/>
    <w:rsid w:val="00FD25FF"/>
    <w:rsid w:val="00FF0127"/>
    <w:rsid w:val="00FF4E25"/>
    <w:rsid w:val="0397F98F"/>
    <w:rsid w:val="03EB110B"/>
    <w:rsid w:val="03FB938C"/>
    <w:rsid w:val="047669D2"/>
    <w:rsid w:val="05AD2B7C"/>
    <w:rsid w:val="05C7BBFA"/>
    <w:rsid w:val="065934A9"/>
    <w:rsid w:val="07E50F9C"/>
    <w:rsid w:val="07F5279B"/>
    <w:rsid w:val="0922A72B"/>
    <w:rsid w:val="09339D00"/>
    <w:rsid w:val="09490373"/>
    <w:rsid w:val="0A9EDF0B"/>
    <w:rsid w:val="0B2DB33B"/>
    <w:rsid w:val="0B321324"/>
    <w:rsid w:val="0B9BD8BE"/>
    <w:rsid w:val="0BB59751"/>
    <w:rsid w:val="0BE689A1"/>
    <w:rsid w:val="0CDB898F"/>
    <w:rsid w:val="0D406648"/>
    <w:rsid w:val="0D9D9CC8"/>
    <w:rsid w:val="0DB936D2"/>
    <w:rsid w:val="0E618FFB"/>
    <w:rsid w:val="0E6383F7"/>
    <w:rsid w:val="0EB4B8B1"/>
    <w:rsid w:val="0F0511AD"/>
    <w:rsid w:val="0F355CB9"/>
    <w:rsid w:val="10636440"/>
    <w:rsid w:val="11A509FE"/>
    <w:rsid w:val="11AC351B"/>
    <w:rsid w:val="11BE8BA9"/>
    <w:rsid w:val="1534F4ED"/>
    <w:rsid w:val="1543A1F0"/>
    <w:rsid w:val="158A60A5"/>
    <w:rsid w:val="15C17480"/>
    <w:rsid w:val="169666B6"/>
    <w:rsid w:val="17A07B82"/>
    <w:rsid w:val="188666AD"/>
    <w:rsid w:val="19C527A1"/>
    <w:rsid w:val="19DAB124"/>
    <w:rsid w:val="1A196834"/>
    <w:rsid w:val="1A39BF8D"/>
    <w:rsid w:val="1ACDBC20"/>
    <w:rsid w:val="1B127DD4"/>
    <w:rsid w:val="1B339ECC"/>
    <w:rsid w:val="1B9ED729"/>
    <w:rsid w:val="1D1DD077"/>
    <w:rsid w:val="1D475062"/>
    <w:rsid w:val="1D9AFC6A"/>
    <w:rsid w:val="1DF27C69"/>
    <w:rsid w:val="1E9B872A"/>
    <w:rsid w:val="1EF6ADD2"/>
    <w:rsid w:val="1F1CEDA5"/>
    <w:rsid w:val="1F1FBA93"/>
    <w:rsid w:val="1F56557A"/>
    <w:rsid w:val="1FF874B1"/>
    <w:rsid w:val="1FFA09BE"/>
    <w:rsid w:val="204100AB"/>
    <w:rsid w:val="209AEAC3"/>
    <w:rsid w:val="20DA45ED"/>
    <w:rsid w:val="20DBE48A"/>
    <w:rsid w:val="2145EBE6"/>
    <w:rsid w:val="21528690"/>
    <w:rsid w:val="22162A31"/>
    <w:rsid w:val="225A0E89"/>
    <w:rsid w:val="228D37EE"/>
    <w:rsid w:val="229C539D"/>
    <w:rsid w:val="238200E2"/>
    <w:rsid w:val="23AAB6D3"/>
    <w:rsid w:val="24730F9B"/>
    <w:rsid w:val="2560DFC5"/>
    <w:rsid w:val="2602E9BC"/>
    <w:rsid w:val="263DA537"/>
    <w:rsid w:val="266F14F2"/>
    <w:rsid w:val="26915D44"/>
    <w:rsid w:val="26BDB3B0"/>
    <w:rsid w:val="27880F21"/>
    <w:rsid w:val="279FFC42"/>
    <w:rsid w:val="27C980A8"/>
    <w:rsid w:val="28484C5A"/>
    <w:rsid w:val="2912EEA0"/>
    <w:rsid w:val="2987625E"/>
    <w:rsid w:val="29B635C3"/>
    <w:rsid w:val="2A099651"/>
    <w:rsid w:val="2B1EC308"/>
    <w:rsid w:val="2B876B89"/>
    <w:rsid w:val="2BBDA886"/>
    <w:rsid w:val="2C465164"/>
    <w:rsid w:val="2D6F8AE1"/>
    <w:rsid w:val="2DACE013"/>
    <w:rsid w:val="2DCF397C"/>
    <w:rsid w:val="2E635FC3"/>
    <w:rsid w:val="2EB409CE"/>
    <w:rsid w:val="2EE3FABB"/>
    <w:rsid w:val="2F79BCD2"/>
    <w:rsid w:val="30777EFB"/>
    <w:rsid w:val="31016D3D"/>
    <w:rsid w:val="31677937"/>
    <w:rsid w:val="31A247F0"/>
    <w:rsid w:val="31B49DC5"/>
    <w:rsid w:val="321C052B"/>
    <w:rsid w:val="333DBAD8"/>
    <w:rsid w:val="33B228F7"/>
    <w:rsid w:val="33E6D8B2"/>
    <w:rsid w:val="33FEACD6"/>
    <w:rsid w:val="343AC019"/>
    <w:rsid w:val="34727EC7"/>
    <w:rsid w:val="349AB9E9"/>
    <w:rsid w:val="349B1A3A"/>
    <w:rsid w:val="34D9AE8D"/>
    <w:rsid w:val="361C666A"/>
    <w:rsid w:val="362889D6"/>
    <w:rsid w:val="36918C92"/>
    <w:rsid w:val="369FB20D"/>
    <w:rsid w:val="36F9976F"/>
    <w:rsid w:val="3715E377"/>
    <w:rsid w:val="375C3984"/>
    <w:rsid w:val="377058E6"/>
    <w:rsid w:val="382508C7"/>
    <w:rsid w:val="383C4BBC"/>
    <w:rsid w:val="3853D1A8"/>
    <w:rsid w:val="38A94AE8"/>
    <w:rsid w:val="38ABBAFE"/>
    <w:rsid w:val="38DDC9FC"/>
    <w:rsid w:val="38E9F94E"/>
    <w:rsid w:val="39BD5043"/>
    <w:rsid w:val="3A7A60F0"/>
    <w:rsid w:val="3AC96B7E"/>
    <w:rsid w:val="3B0742CD"/>
    <w:rsid w:val="3B6326D8"/>
    <w:rsid w:val="3B8968B0"/>
    <w:rsid w:val="3B979FA5"/>
    <w:rsid w:val="3BE9CBB7"/>
    <w:rsid w:val="3C6DF862"/>
    <w:rsid w:val="3C7D6D1F"/>
    <w:rsid w:val="3CCB85FA"/>
    <w:rsid w:val="3CE69CED"/>
    <w:rsid w:val="3D42DF3D"/>
    <w:rsid w:val="3D99E02C"/>
    <w:rsid w:val="3E473873"/>
    <w:rsid w:val="3E74C1BF"/>
    <w:rsid w:val="3EA29AA6"/>
    <w:rsid w:val="3F0270B5"/>
    <w:rsid w:val="3F94EA9B"/>
    <w:rsid w:val="401B796B"/>
    <w:rsid w:val="4053D7F2"/>
    <w:rsid w:val="40BBA56C"/>
    <w:rsid w:val="40F57930"/>
    <w:rsid w:val="4197C1AC"/>
    <w:rsid w:val="42701EAD"/>
    <w:rsid w:val="42EB13AE"/>
    <w:rsid w:val="43ADA9F3"/>
    <w:rsid w:val="44ADC9C2"/>
    <w:rsid w:val="4503EF41"/>
    <w:rsid w:val="452F651E"/>
    <w:rsid w:val="459294C9"/>
    <w:rsid w:val="45E983BD"/>
    <w:rsid w:val="4635C56A"/>
    <w:rsid w:val="468408AC"/>
    <w:rsid w:val="46B062AD"/>
    <w:rsid w:val="47F98680"/>
    <w:rsid w:val="4829EEFB"/>
    <w:rsid w:val="482FC788"/>
    <w:rsid w:val="4851BDCA"/>
    <w:rsid w:val="48AF2B2F"/>
    <w:rsid w:val="48AF8CDE"/>
    <w:rsid w:val="493B3191"/>
    <w:rsid w:val="49C2446D"/>
    <w:rsid w:val="4A356EC1"/>
    <w:rsid w:val="4A95C5C2"/>
    <w:rsid w:val="4B1F275E"/>
    <w:rsid w:val="4B3CCD6A"/>
    <w:rsid w:val="4B50714E"/>
    <w:rsid w:val="4B87AD7F"/>
    <w:rsid w:val="4C0D3F07"/>
    <w:rsid w:val="4C40E833"/>
    <w:rsid w:val="4C4746C6"/>
    <w:rsid w:val="4D552C66"/>
    <w:rsid w:val="4ECA7860"/>
    <w:rsid w:val="50133E01"/>
    <w:rsid w:val="50AAF295"/>
    <w:rsid w:val="50EFE608"/>
    <w:rsid w:val="51EBFFA4"/>
    <w:rsid w:val="520BDC80"/>
    <w:rsid w:val="526A31CC"/>
    <w:rsid w:val="5293D7C5"/>
    <w:rsid w:val="52AA87D5"/>
    <w:rsid w:val="52B2C295"/>
    <w:rsid w:val="53366974"/>
    <w:rsid w:val="53439088"/>
    <w:rsid w:val="5417BDEE"/>
    <w:rsid w:val="552A5AEF"/>
    <w:rsid w:val="555074BD"/>
    <w:rsid w:val="5579A1E0"/>
    <w:rsid w:val="55E85472"/>
    <w:rsid w:val="562F7008"/>
    <w:rsid w:val="56CDE2A5"/>
    <w:rsid w:val="56D136F2"/>
    <w:rsid w:val="57A6B6BD"/>
    <w:rsid w:val="57AEB7FA"/>
    <w:rsid w:val="583939CC"/>
    <w:rsid w:val="5881FCF1"/>
    <w:rsid w:val="58D82C8B"/>
    <w:rsid w:val="58D8A494"/>
    <w:rsid w:val="5A18BC2A"/>
    <w:rsid w:val="5A570C8D"/>
    <w:rsid w:val="5ADD50F7"/>
    <w:rsid w:val="5B55BA2E"/>
    <w:rsid w:val="5BB2FDCA"/>
    <w:rsid w:val="5BFF96A1"/>
    <w:rsid w:val="5C5448EE"/>
    <w:rsid w:val="5C7E8528"/>
    <w:rsid w:val="5C9B8CB2"/>
    <w:rsid w:val="5CE22943"/>
    <w:rsid w:val="5CE4604F"/>
    <w:rsid w:val="5CF95C43"/>
    <w:rsid w:val="5D2A12C8"/>
    <w:rsid w:val="5E836715"/>
    <w:rsid w:val="5E847BC7"/>
    <w:rsid w:val="5F1E6574"/>
    <w:rsid w:val="621A25EB"/>
    <w:rsid w:val="62816678"/>
    <w:rsid w:val="629AE868"/>
    <w:rsid w:val="64CB76AD"/>
    <w:rsid w:val="64E4F58B"/>
    <w:rsid w:val="6563A4CF"/>
    <w:rsid w:val="6582FE34"/>
    <w:rsid w:val="65BA189F"/>
    <w:rsid w:val="65D16A1B"/>
    <w:rsid w:val="65E8F40D"/>
    <w:rsid w:val="65EA1B0A"/>
    <w:rsid w:val="65EDDA48"/>
    <w:rsid w:val="65FFF928"/>
    <w:rsid w:val="6832D3A8"/>
    <w:rsid w:val="68726203"/>
    <w:rsid w:val="689BCDFE"/>
    <w:rsid w:val="68B40509"/>
    <w:rsid w:val="69CB32B2"/>
    <w:rsid w:val="6A0F4F6E"/>
    <w:rsid w:val="6B419ADC"/>
    <w:rsid w:val="6BA492FF"/>
    <w:rsid w:val="6BECCD05"/>
    <w:rsid w:val="6C0D6791"/>
    <w:rsid w:val="6C1E713F"/>
    <w:rsid w:val="6CC7F07B"/>
    <w:rsid w:val="6D3ABAE2"/>
    <w:rsid w:val="6D618A7B"/>
    <w:rsid w:val="6D6BED55"/>
    <w:rsid w:val="6D8703EF"/>
    <w:rsid w:val="6DD2E1AC"/>
    <w:rsid w:val="6EA38FFA"/>
    <w:rsid w:val="6EEE36DB"/>
    <w:rsid w:val="6F5AF343"/>
    <w:rsid w:val="6F95DFDC"/>
    <w:rsid w:val="6FC171CC"/>
    <w:rsid w:val="70783F3E"/>
    <w:rsid w:val="71D0DF7B"/>
    <w:rsid w:val="71D62DFB"/>
    <w:rsid w:val="71F5935E"/>
    <w:rsid w:val="721F184D"/>
    <w:rsid w:val="7266A834"/>
    <w:rsid w:val="728F72E4"/>
    <w:rsid w:val="72DDD2A1"/>
    <w:rsid w:val="72F5517A"/>
    <w:rsid w:val="730BDCD9"/>
    <w:rsid w:val="7334256A"/>
    <w:rsid w:val="743C534A"/>
    <w:rsid w:val="7442ED0C"/>
    <w:rsid w:val="7572008F"/>
    <w:rsid w:val="75C15F7C"/>
    <w:rsid w:val="76D17F31"/>
    <w:rsid w:val="770A19D5"/>
    <w:rsid w:val="79587779"/>
    <w:rsid w:val="7974D301"/>
    <w:rsid w:val="79A45C33"/>
    <w:rsid w:val="79ABCEF2"/>
    <w:rsid w:val="7A275A85"/>
    <w:rsid w:val="7A8DF8B0"/>
    <w:rsid w:val="7A96792D"/>
    <w:rsid w:val="7B3CCF31"/>
    <w:rsid w:val="7C272774"/>
    <w:rsid w:val="7C701679"/>
    <w:rsid w:val="7CE3B375"/>
    <w:rsid w:val="7CFB824D"/>
    <w:rsid w:val="7D54F23B"/>
    <w:rsid w:val="7DDEC7EE"/>
    <w:rsid w:val="7E1203ED"/>
    <w:rsid w:val="7E862FE3"/>
    <w:rsid w:val="7EAEA9CA"/>
    <w:rsid w:val="7ED10C57"/>
    <w:rsid w:val="7FAAB8A1"/>
    <w:rsid w:val="7FB77735"/>
    <w:rsid w:val="7FCE52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A25EB"/>
  <w15:chartTrackingRefBased/>
  <w15:docId w15:val="{1110DD09-FA01-4FE8-80F6-0D9875FE7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sid w:val="00EA53EB"/>
    <w:rPr>
      <w:color w:val="467886" w:themeColor="hyperlink"/>
      <w:u w:val="single"/>
    </w:rPr>
  </w:style>
  <w:style w:type="character" w:styleId="UnresolvedMention">
    <w:name w:val="Unresolved Mention"/>
    <w:basedOn w:val="DefaultParagraphFont"/>
    <w:uiPriority w:val="99"/>
    <w:semiHidden/>
    <w:unhideWhenUsed/>
    <w:rsid w:val="00EA53EB"/>
    <w:rPr>
      <w:color w:val="605E5C"/>
      <w:shd w:val="clear" w:color="auto" w:fill="E1DFDD"/>
    </w:rPr>
  </w:style>
  <w:style w:type="paragraph" w:styleId="Bibliography">
    <w:name w:val="Bibliography"/>
    <w:basedOn w:val="Normal"/>
    <w:next w:val="Normal"/>
    <w:uiPriority w:val="37"/>
    <w:unhideWhenUsed/>
    <w:rsid w:val="004A752E"/>
    <w:rPr>
      <w:lang w:val="bg-BG"/>
    </w:rPr>
  </w:style>
  <w:style w:type="paragraph" w:styleId="FootnoteText">
    <w:name w:val="footnote text"/>
    <w:basedOn w:val="Normal"/>
    <w:link w:val="FootnoteTextChar"/>
    <w:uiPriority w:val="99"/>
    <w:semiHidden/>
    <w:unhideWhenUsed/>
    <w:rsid w:val="000075F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075F6"/>
    <w:rPr>
      <w:sz w:val="20"/>
      <w:szCs w:val="20"/>
    </w:rPr>
  </w:style>
  <w:style w:type="character" w:styleId="FootnoteReference">
    <w:name w:val="footnote reference"/>
    <w:basedOn w:val="DefaultParagraphFont"/>
    <w:uiPriority w:val="99"/>
    <w:semiHidden/>
    <w:unhideWhenUsed/>
    <w:rsid w:val="000075F6"/>
    <w:rPr>
      <w:vertAlign w:val="superscript"/>
    </w:rPr>
  </w:style>
  <w:style w:type="paragraph" w:styleId="Header">
    <w:name w:val="header"/>
    <w:basedOn w:val="Normal"/>
    <w:link w:val="HeaderChar"/>
    <w:uiPriority w:val="99"/>
    <w:semiHidden/>
    <w:unhideWhenUsed/>
    <w:rsid w:val="00AC2F7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C2F70"/>
  </w:style>
  <w:style w:type="paragraph" w:styleId="Footer">
    <w:name w:val="footer"/>
    <w:basedOn w:val="Normal"/>
    <w:link w:val="FooterChar"/>
    <w:uiPriority w:val="99"/>
    <w:semiHidden/>
    <w:unhideWhenUsed/>
    <w:rsid w:val="00AC2F7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C2F70"/>
  </w:style>
  <w:style w:type="paragraph" w:styleId="CommentText">
    <w:name w:val="annotation text"/>
    <w:basedOn w:val="Normal"/>
    <w:link w:val="CommentTextChar"/>
    <w:uiPriority w:val="99"/>
    <w:semiHidden/>
    <w:unhideWhenUsed/>
    <w:rsid w:val="009231C8"/>
    <w:pPr>
      <w:spacing w:line="240" w:lineRule="auto"/>
    </w:pPr>
    <w:rPr>
      <w:sz w:val="20"/>
      <w:szCs w:val="20"/>
    </w:rPr>
  </w:style>
  <w:style w:type="character" w:customStyle="1" w:styleId="CommentTextChar">
    <w:name w:val="Comment Text Char"/>
    <w:basedOn w:val="DefaultParagraphFont"/>
    <w:link w:val="CommentText"/>
    <w:uiPriority w:val="99"/>
    <w:semiHidden/>
    <w:rsid w:val="009231C8"/>
    <w:rPr>
      <w:sz w:val="20"/>
      <w:szCs w:val="20"/>
    </w:rPr>
  </w:style>
  <w:style w:type="character" w:styleId="CommentReference">
    <w:name w:val="annotation reference"/>
    <w:basedOn w:val="DefaultParagraphFont"/>
    <w:uiPriority w:val="99"/>
    <w:semiHidden/>
    <w:unhideWhenUsed/>
    <w:rsid w:val="009231C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artina.bogdanova@netlaw.bg" TargetMode="External"/><Relationship Id="rId5" Type="http://schemas.openxmlformats.org/officeDocument/2006/relationships/styles" Target="styles.xml"/><Relationship Id="rId10" Type="http://schemas.openxmlformats.org/officeDocument/2006/relationships/hyperlink" Target="https://orcid.org/0009-0001-3485-2362"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Hyperlink xmlns="a8283528-8dfe-400f-be26-3551558dd496">
      <Url xsi:nil="true"/>
      <Description xsi:nil="true"/>
    </Hyperlink>
    <_Flow_SignoffStatus xmlns="a8283528-8dfe-400f-be26-3551558dd496" xsi:nil="true"/>
    <TaxCatchAll xmlns="20a5ecb8-b3b3-41b8-9a6c-fdba20d983fb" xsi:nil="true"/>
    <lcf76f155ced4ddcb4097134ff3c332f xmlns="a8283528-8dfe-400f-be26-3551558dd49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61D4DDF2DAA264F90523C37F876FAF1" ma:contentTypeVersion="21" ma:contentTypeDescription="Create a new document." ma:contentTypeScope="" ma:versionID="73a950759289355ff349d7d0251833c6">
  <xsd:schema xmlns:xsd="http://www.w3.org/2001/XMLSchema" xmlns:xs="http://www.w3.org/2001/XMLSchema" xmlns:p="http://schemas.microsoft.com/office/2006/metadata/properties" xmlns:ns2="a8283528-8dfe-400f-be26-3551558dd496" xmlns:ns3="20a5ecb8-b3b3-41b8-9a6c-fdba20d983fb" targetNamespace="http://schemas.microsoft.com/office/2006/metadata/properties" ma:root="true" ma:fieldsID="fe433744ac2e874b69e391cb212a45f4" ns2:_="" ns3:_="">
    <xsd:import namespace="a8283528-8dfe-400f-be26-3551558dd496"/>
    <xsd:import namespace="20a5ecb8-b3b3-41b8-9a6c-fdba20d983f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Location" minOccurs="0"/>
                <xsd:element ref="ns3:SharedWithUsers" minOccurs="0"/>
                <xsd:element ref="ns3:SharedWithDetails" minOccurs="0"/>
                <xsd:element ref="ns2:MediaServiceOCR" minOccurs="0"/>
                <xsd:element ref="ns2:Hyperlink" minOccurs="0"/>
                <xsd:element ref="ns2:MediaServiceGenerationTime" minOccurs="0"/>
                <xsd:element ref="ns2:MediaServiceEventHashCode" minOccurs="0"/>
                <xsd:element ref="ns2:_Flow_SignoffStatu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283528-8dfe-400f-be26-3551558dd49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Hyperlink" ma:index="16" nillable="true" ma:displayName="Hyperlink" ma:format="Hyperlink" ma:internalName="Hyper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Flow_SignoffStatus" ma:index="19" nillable="true" ma:displayName="Sign-off status" ma:internalName="Sign_x002d_off_x0020_status">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06ef9970-d6be-431e-b1e2-d90db466b59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0a5ecb8-b3b3-41b8-9a6c-fdba20d983fb" elementFormDefault="qualified">
    <xsd:import namespace="http://schemas.microsoft.com/office/2006/documentManagement/types"/>
    <xsd:import namespace="http://schemas.microsoft.com/office/infopath/2007/PartnerControls"/>
    <xsd:element name="SharedWithUsers" ma:index="1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description="" ma:internalName="SharedWithDetails" ma:readOnly="true">
      <xsd:simpleType>
        <xsd:restriction base="dms:Note">
          <xsd:maxLength value="255"/>
        </xsd:restriction>
      </xsd:simpleType>
    </xsd:element>
    <xsd:element name="TaxCatchAll" ma:index="25" nillable="true" ma:displayName="Taxonomy Catch All Column" ma:hidden="true" ma:list="{0eb273d5-dd96-452b-a799-07285b0d5a95}" ma:internalName="TaxCatchAll" ma:showField="CatchAllData" ma:web="20a5ecb8-b3b3-41b8-9a6c-fdba20d983f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9EBFC0-4728-467A-B56E-129C1BFCABA9}">
  <ds:schemaRefs>
    <ds:schemaRef ds:uri="http://purl.org/dc/terms/"/>
    <ds:schemaRef ds:uri="http://purl.org/dc/elements/1.1/"/>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http://schemas.microsoft.com/office/2006/metadata/properties"/>
    <ds:schemaRef ds:uri="20a5ecb8-b3b3-41b8-9a6c-fdba20d983fb"/>
    <ds:schemaRef ds:uri="a8283528-8dfe-400f-be26-3551558dd496"/>
    <ds:schemaRef ds:uri="http://www.w3.org/XML/1998/namespace"/>
  </ds:schemaRefs>
</ds:datastoreItem>
</file>

<file path=customXml/itemProps2.xml><?xml version="1.0" encoding="utf-8"?>
<ds:datastoreItem xmlns:ds="http://schemas.openxmlformats.org/officeDocument/2006/customXml" ds:itemID="{3EB27553-BEB7-4C6E-B70F-20B089A3A4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283528-8dfe-400f-be26-3551558dd496"/>
    <ds:schemaRef ds:uri="20a5ecb8-b3b3-41b8-9a6c-fdba20d983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D32B65F-7F5F-4032-8D5A-C090E53ADAFC}">
  <ds:schemaRefs>
    <ds:schemaRef ds:uri="http://schemas.openxmlformats.org/officeDocument/2006/bibliography"/>
  </ds:schemaRefs>
</ds:datastoreItem>
</file>

<file path=customXml/itemProps4.xml><?xml version="1.0" encoding="utf-8"?>
<ds:datastoreItem xmlns:ds="http://schemas.openxmlformats.org/officeDocument/2006/customXml" ds:itemID="{390022F0-D9DA-47DC-96A6-21D13BBC38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2450</Words>
  <Characters>13965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Tomova</dc:creator>
  <cp:keywords/>
  <dc:description/>
  <cp:lastModifiedBy>Mira Ivancheva</cp:lastModifiedBy>
  <cp:revision>2</cp:revision>
  <dcterms:created xsi:type="dcterms:W3CDTF">2025-07-28T12:40:00Z</dcterms:created>
  <dcterms:modified xsi:type="dcterms:W3CDTF">2025-07-28T12:40:00Z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0x010100361D4DDF2DAA264F90523C37F876FAF1</vt:lpwstr>
  </property>
  <property fmtid="{D5CDD505-2E9C-101B-9397-08002B2CF9AE}" pid="3" name="MediaServiceImageTags">
    <vt:lpwstr/>
  </property>
</Properties>
</file>